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F2A2729" w14:textId="50DF05CE" w:rsidR="009E53B0" w:rsidRPr="008F0328" w:rsidRDefault="009E53B0" w:rsidP="008E75D7">
      <w:pPr>
        <w:pStyle w:val="Header"/>
        <w:tabs>
          <w:tab w:val="left" w:pos="6521"/>
        </w:tabs>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Meeting </w:t>
      </w:r>
      <w:r w:rsidR="00456AC9">
        <w:rPr>
          <w:rFonts w:cs="Arial"/>
          <w:bCs/>
          <w:noProof w:val="0"/>
          <w:sz w:val="24"/>
          <w:szCs w:val="24"/>
          <w:lang w:val="de-DE"/>
        </w:rPr>
        <w:t>#</w:t>
      </w:r>
      <w:r w:rsidR="007C6537">
        <w:rPr>
          <w:rFonts w:cs="Arial"/>
          <w:bCs/>
          <w:noProof w:val="0"/>
          <w:sz w:val="24"/>
          <w:szCs w:val="24"/>
          <w:lang w:val="de-DE"/>
        </w:rPr>
        <w:t>9</w:t>
      </w:r>
      <w:r w:rsidR="00B34FF1">
        <w:rPr>
          <w:rFonts w:cs="Arial"/>
          <w:bCs/>
          <w:noProof w:val="0"/>
          <w:sz w:val="24"/>
          <w:szCs w:val="24"/>
          <w:lang w:val="de-DE"/>
        </w:rPr>
        <w:t>4</w:t>
      </w:r>
      <w:r w:rsidR="002C3941">
        <w:rPr>
          <w:rFonts w:cs="Arial"/>
          <w:bCs/>
          <w:noProof w:val="0"/>
          <w:sz w:val="24"/>
          <w:szCs w:val="24"/>
          <w:lang w:val="de-DE"/>
        </w:rPr>
        <w:t>bis</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Pr="008426E0">
        <w:rPr>
          <w:i/>
          <w:noProof w:val="0"/>
          <w:sz w:val="24"/>
          <w:szCs w:val="24"/>
          <w:lang w:val="de-DE"/>
        </w:rPr>
        <w:t>R1-</w:t>
      </w:r>
      <w:r w:rsidR="002C6588" w:rsidRPr="002C6588">
        <w:rPr>
          <w:i/>
          <w:noProof w:val="0"/>
          <w:sz w:val="24"/>
          <w:szCs w:val="24"/>
          <w:lang w:val="de-DE"/>
        </w:rPr>
        <w:t>1810860</w:t>
      </w:r>
    </w:p>
    <w:p w14:paraId="2F2D1727" w14:textId="77777777" w:rsidR="002C3941" w:rsidRDefault="002C3941" w:rsidP="002C3941">
      <w:pPr>
        <w:tabs>
          <w:tab w:val="left" w:pos="1985"/>
        </w:tabs>
        <w:rPr>
          <w:rFonts w:ascii="Arial" w:hAnsi="Arial"/>
          <w:b/>
          <w:bCs/>
          <w:noProof/>
          <w:sz w:val="24"/>
          <w:szCs w:val="24"/>
        </w:rPr>
      </w:pPr>
      <w:r>
        <w:rPr>
          <w:rFonts w:ascii="Arial" w:hAnsi="Arial"/>
          <w:b/>
          <w:bCs/>
          <w:noProof/>
          <w:sz w:val="24"/>
          <w:szCs w:val="24"/>
        </w:rPr>
        <w:t>Chengdu</w:t>
      </w:r>
      <w:r w:rsidRPr="0046153C">
        <w:rPr>
          <w:rFonts w:ascii="Arial" w:hAnsi="Arial"/>
          <w:b/>
          <w:bCs/>
          <w:noProof/>
          <w:sz w:val="24"/>
          <w:szCs w:val="24"/>
        </w:rPr>
        <w:t xml:space="preserve">, </w:t>
      </w:r>
      <w:r>
        <w:rPr>
          <w:rFonts w:ascii="Arial" w:hAnsi="Arial"/>
          <w:b/>
          <w:bCs/>
          <w:noProof/>
          <w:sz w:val="24"/>
          <w:szCs w:val="24"/>
        </w:rPr>
        <w:t>China</w:t>
      </w:r>
      <w:r w:rsidRPr="0046153C">
        <w:rPr>
          <w:rFonts w:ascii="Arial" w:hAnsi="Arial"/>
          <w:b/>
          <w:bCs/>
          <w:noProof/>
          <w:sz w:val="24"/>
          <w:szCs w:val="24"/>
        </w:rPr>
        <w:t xml:space="preserve">, </w:t>
      </w:r>
      <w:r>
        <w:rPr>
          <w:rFonts w:ascii="Arial" w:hAnsi="Arial"/>
          <w:b/>
          <w:bCs/>
          <w:noProof/>
          <w:sz w:val="24"/>
          <w:szCs w:val="24"/>
        </w:rPr>
        <w:t>October 8th – 12</w:t>
      </w:r>
      <w:r w:rsidRPr="0046153C">
        <w:rPr>
          <w:rFonts w:ascii="Arial" w:hAnsi="Arial"/>
          <w:b/>
          <w:bCs/>
          <w:noProof/>
          <w:sz w:val="24"/>
          <w:szCs w:val="24"/>
        </w:rPr>
        <w:t>th, 2018</w:t>
      </w:r>
    </w:p>
    <w:p w14:paraId="6FDE030A" w14:textId="77777777" w:rsidR="00096B2C" w:rsidRPr="0062029B" w:rsidRDefault="009E53B0" w:rsidP="008E75D7">
      <w:pPr>
        <w:tabs>
          <w:tab w:val="left" w:pos="1985"/>
        </w:tabs>
        <w:spacing w:after="120"/>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7.2.2.4.1</w:t>
      </w:r>
    </w:p>
    <w:p w14:paraId="3327889A" w14:textId="77777777" w:rsidR="0075049F" w:rsidRPr="0062029B" w:rsidRDefault="0075049F" w:rsidP="008E75D7">
      <w:pPr>
        <w:tabs>
          <w:tab w:val="left" w:pos="1985"/>
        </w:tabs>
        <w:spacing w:after="120"/>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0EB03A10" w14:textId="77777777" w:rsidR="0075049F" w:rsidRPr="0062029B" w:rsidRDefault="0075049F" w:rsidP="008E75D7">
      <w:pPr>
        <w:spacing w:after="120"/>
        <w:ind w:left="1988" w:hangingChars="825" w:hanging="1988"/>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19B0418B" w14:textId="77777777" w:rsidR="0075049F" w:rsidRPr="0062029B" w:rsidRDefault="0075049F" w:rsidP="008E75D7">
      <w:pPr>
        <w:tabs>
          <w:tab w:val="left" w:pos="1985"/>
        </w:tabs>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19CF4126" w14:textId="77777777" w:rsidR="00162A07" w:rsidRPr="00122A54" w:rsidRDefault="00162A07" w:rsidP="00902A5D">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3F030581" w14:textId="77777777" w:rsidR="006F21D3" w:rsidRDefault="006A7405" w:rsidP="008E75D7">
      <w:pPr>
        <w:pStyle w:val="LGTdoc"/>
        <w:spacing w:before="120" w:afterLines="0" w:line="240" w:lineRule="auto"/>
        <w:rPr>
          <w:rFonts w:eastAsia="SimSun"/>
          <w:sz w:val="20"/>
          <w:szCs w:val="20"/>
          <w:lang w:eastAsia="zh-CN"/>
        </w:rPr>
      </w:pPr>
      <w:r>
        <w:rPr>
          <w:rFonts w:eastAsia="SimSun"/>
          <w:sz w:val="20"/>
          <w:szCs w:val="20"/>
          <w:lang w:eastAsia="zh-CN"/>
        </w:rPr>
        <w:t>In the last RAN1 meeting [1], the following agreements regarding channel access for NR-U were made:</w:t>
      </w:r>
    </w:p>
    <w:p w14:paraId="71F6F044" w14:textId="77777777" w:rsidR="006F21D3" w:rsidRDefault="0012642F" w:rsidP="008E75D7">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76054227" wp14:editId="42C7D092">
                <wp:simplePos x="0" y="0"/>
                <wp:positionH relativeFrom="margin">
                  <wp:align>left</wp:align>
                </wp:positionH>
                <wp:positionV relativeFrom="paragraph">
                  <wp:posOffset>22860</wp:posOffset>
                </wp:positionV>
                <wp:extent cx="6097905" cy="1422400"/>
                <wp:effectExtent l="0" t="0" r="17145" b="254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14224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21A909E" w14:textId="77777777" w:rsidR="000116CC" w:rsidRDefault="000116CC" w:rsidP="000116CC">
                            <w:pPr>
                              <w:rPr>
                                <w:lang w:eastAsia="x-none"/>
                              </w:rPr>
                            </w:pPr>
                            <w:r w:rsidRPr="004108E1">
                              <w:rPr>
                                <w:highlight w:val="green"/>
                                <w:lang w:eastAsia="x-none"/>
                              </w:rPr>
                              <w:t>Agreement:</w:t>
                            </w:r>
                            <w:r>
                              <w:rPr>
                                <w:lang w:eastAsia="x-none"/>
                              </w:rPr>
                              <w:t xml:space="preserve"> </w:t>
                            </w:r>
                          </w:p>
                          <w:p w14:paraId="502AC1CF" w14:textId="77777777" w:rsidR="000116CC" w:rsidRDefault="000116CC" w:rsidP="000116CC">
                            <w:pPr>
                              <w:rPr>
                                <w:lang w:eastAsia="x-none"/>
                              </w:rPr>
                            </w:pPr>
                            <w:r>
                              <w:rPr>
                                <w:lang w:eastAsia="x-none"/>
                              </w:rPr>
                              <w:t>In addition to aspects considered in LTE LAA, CWS adjustment procedure in NR-U may additionally consider at least the following aspects:</w:t>
                            </w:r>
                          </w:p>
                          <w:p w14:paraId="1359F5D3" w14:textId="77777777" w:rsidR="000116CC" w:rsidRDefault="000116CC" w:rsidP="000116CC">
                            <w:pPr>
                              <w:numPr>
                                <w:ilvl w:val="0"/>
                                <w:numId w:val="21"/>
                              </w:numPr>
                              <w:spacing w:after="0"/>
                              <w:rPr>
                                <w:lang w:eastAsia="x-none"/>
                              </w:rPr>
                            </w:pPr>
                            <w:r>
                              <w:rPr>
                                <w:lang w:eastAsia="x-none"/>
                              </w:rPr>
                              <w:t>CBG based HARQ-ACK operation,</w:t>
                            </w:r>
                          </w:p>
                          <w:p w14:paraId="7D385F0A" w14:textId="77777777" w:rsidR="000116CC" w:rsidRDefault="000116CC" w:rsidP="000116CC">
                            <w:pPr>
                              <w:numPr>
                                <w:ilvl w:val="0"/>
                                <w:numId w:val="21"/>
                              </w:numPr>
                              <w:spacing w:after="0"/>
                              <w:rPr>
                                <w:lang w:eastAsia="x-none"/>
                              </w:rPr>
                            </w:pPr>
                            <w:r>
                              <w:rPr>
                                <w:lang w:eastAsia="x-none"/>
                              </w:rPr>
                              <w:t>NR scheduling and HARQ-feedback delays and processing times</w:t>
                            </w:r>
                          </w:p>
                          <w:p w14:paraId="76A2F618" w14:textId="77777777" w:rsidR="000116CC" w:rsidRDefault="000116CC" w:rsidP="000116CC">
                            <w:pPr>
                              <w:numPr>
                                <w:ilvl w:val="0"/>
                                <w:numId w:val="21"/>
                              </w:numPr>
                              <w:spacing w:after="0"/>
                              <w:rPr>
                                <w:lang w:eastAsia="x-none"/>
                              </w:rPr>
                            </w:pPr>
                            <w:r>
                              <w:rPr>
                                <w:lang w:eastAsia="x-none"/>
                              </w:rPr>
                              <w:t>wideband (&gt;20 MHz) operation including BWPs</w:t>
                            </w:r>
                          </w:p>
                          <w:p w14:paraId="64C7F379" w14:textId="77777777" w:rsidR="000116CC" w:rsidRDefault="000116CC" w:rsidP="000116CC">
                            <w:pPr>
                              <w:numPr>
                                <w:ilvl w:val="0"/>
                                <w:numId w:val="21"/>
                              </w:numPr>
                              <w:spacing w:after="0"/>
                              <w:rPr>
                                <w:lang w:eastAsia="x-none"/>
                              </w:rPr>
                            </w:pPr>
                            <w:r>
                              <w:rPr>
                                <w:lang w:eastAsia="x-none"/>
                              </w:rPr>
                              <w:t>Configured grant operation</w:t>
                            </w:r>
                          </w:p>
                          <w:p w14:paraId="65D4536E" w14:textId="77777777" w:rsidR="005B0C96" w:rsidRPr="0064397A" w:rsidRDefault="005B0C96" w:rsidP="005B0C96">
                            <w:pPr>
                              <w:spacing w:after="0"/>
                              <w:rPr>
                                <w:sz w:val="18"/>
                              </w:rPr>
                            </w:pPr>
                          </w:p>
                          <w:p w14:paraId="1D918113" w14:textId="77777777" w:rsidR="005B0C96" w:rsidRDefault="005B0C96" w:rsidP="005B0C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54227" id="_x0000_t202" coordsize="21600,21600" o:spt="202" path="m,l,21600r21600,l21600,xe">
                <v:stroke joinstyle="miter"/>
                <v:path gradientshapeok="t" o:connecttype="rect"/>
              </v:shapetype>
              <v:shape id="Text Box 3" o:spid="_x0000_s1026" type="#_x0000_t202" style="position:absolute;left:0;text-align:left;margin-left:0;margin-top:1.8pt;width:480.15pt;height:112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">
                <v:textbox>
                  <w:txbxContent>
                    <w:p w14:paraId="021A909E" w14:textId="77777777" w:rsidR="000116CC" w:rsidRDefault="000116CC" w:rsidP="000116CC">
                      <w:pPr>
                        <w:rPr>
                          <w:lang w:eastAsia="x-none"/>
                        </w:rPr>
                      </w:pPr>
                      <w:r w:rsidRPr="004108E1">
                        <w:rPr>
                          <w:highlight w:val="green"/>
                          <w:lang w:eastAsia="x-none"/>
                        </w:rPr>
                        <w:t>Agreement:</w:t>
                      </w:r>
                      <w:r>
                        <w:rPr>
                          <w:lang w:eastAsia="x-none"/>
                        </w:rPr>
                        <w:t xml:space="preserve"> </w:t>
                      </w:r>
                    </w:p>
                    <w:p w14:paraId="502AC1CF" w14:textId="77777777" w:rsidR="000116CC" w:rsidRDefault="000116CC" w:rsidP="000116CC">
                      <w:pPr>
                        <w:rPr>
                          <w:lang w:eastAsia="x-none"/>
                        </w:rPr>
                      </w:pPr>
                      <w:r>
                        <w:rPr>
                          <w:lang w:eastAsia="x-none"/>
                        </w:rPr>
                        <w:t>In addition to aspects considered in LTE LAA, CWS adjustment procedure in NR-U may additionally consider at least the following aspects:</w:t>
                      </w:r>
                    </w:p>
                    <w:p w14:paraId="1359F5D3" w14:textId="77777777" w:rsidR="000116CC" w:rsidRDefault="000116CC" w:rsidP="000116CC">
                      <w:pPr>
                        <w:numPr>
                          <w:ilvl w:val="0"/>
                          <w:numId w:val="21"/>
                        </w:numPr>
                        <w:spacing w:after="0"/>
                        <w:rPr>
                          <w:lang w:eastAsia="x-none"/>
                        </w:rPr>
                      </w:pPr>
                      <w:r>
                        <w:rPr>
                          <w:lang w:eastAsia="x-none"/>
                        </w:rPr>
                        <w:t>CBG based HARQ-ACK operation,</w:t>
                      </w:r>
                    </w:p>
                    <w:p w14:paraId="7D385F0A" w14:textId="77777777" w:rsidR="000116CC" w:rsidRDefault="000116CC" w:rsidP="000116CC">
                      <w:pPr>
                        <w:numPr>
                          <w:ilvl w:val="0"/>
                          <w:numId w:val="21"/>
                        </w:numPr>
                        <w:spacing w:after="0"/>
                        <w:rPr>
                          <w:lang w:eastAsia="x-none"/>
                        </w:rPr>
                      </w:pPr>
                      <w:r>
                        <w:rPr>
                          <w:lang w:eastAsia="x-none"/>
                        </w:rPr>
                        <w:t>NR scheduling and HARQ-feedback delays and processing times</w:t>
                      </w:r>
                    </w:p>
                    <w:p w14:paraId="76A2F618" w14:textId="77777777" w:rsidR="000116CC" w:rsidRDefault="000116CC" w:rsidP="000116CC">
                      <w:pPr>
                        <w:numPr>
                          <w:ilvl w:val="0"/>
                          <w:numId w:val="21"/>
                        </w:numPr>
                        <w:spacing w:after="0"/>
                        <w:rPr>
                          <w:lang w:eastAsia="x-none"/>
                        </w:rPr>
                      </w:pPr>
                      <w:r>
                        <w:rPr>
                          <w:lang w:eastAsia="x-none"/>
                        </w:rPr>
                        <w:t>wideband (&gt;20 MHz) operation including BWPs</w:t>
                      </w:r>
                    </w:p>
                    <w:p w14:paraId="64C7F379" w14:textId="77777777" w:rsidR="000116CC" w:rsidRDefault="000116CC" w:rsidP="000116CC">
                      <w:pPr>
                        <w:numPr>
                          <w:ilvl w:val="0"/>
                          <w:numId w:val="21"/>
                        </w:numPr>
                        <w:spacing w:after="0"/>
                        <w:rPr>
                          <w:lang w:eastAsia="x-none"/>
                        </w:rPr>
                      </w:pPr>
                      <w:r>
                        <w:rPr>
                          <w:lang w:eastAsia="x-none"/>
                        </w:rPr>
                        <w:t>Configured grant operation</w:t>
                      </w:r>
                    </w:p>
                    <w:p w14:paraId="65D4536E" w14:textId="77777777" w:rsidR="005B0C96" w:rsidRPr="0064397A" w:rsidRDefault="005B0C96" w:rsidP="005B0C96">
                      <w:pPr>
                        <w:spacing w:after="0"/>
                        <w:rPr>
                          <w:sz w:val="18"/>
                        </w:rPr>
                      </w:pPr>
                    </w:p>
                    <w:p w14:paraId="1D918113" w14:textId="77777777" w:rsidR="005B0C96" w:rsidRDefault="005B0C96" w:rsidP="005B0C96"/>
                  </w:txbxContent>
                </v:textbox>
                <w10:wrap anchorx="margin"/>
              </v:shape>
            </w:pict>
          </mc:Fallback>
        </mc:AlternateContent>
      </w:r>
    </w:p>
    <w:p w14:paraId="296C48B5" w14:textId="77777777" w:rsidR="006F21D3" w:rsidRDefault="006F21D3" w:rsidP="008E75D7">
      <w:pPr>
        <w:pStyle w:val="LGTdoc"/>
        <w:spacing w:before="120" w:afterLines="0" w:line="240" w:lineRule="auto"/>
        <w:rPr>
          <w:rFonts w:eastAsia="SimSun"/>
          <w:sz w:val="20"/>
          <w:szCs w:val="20"/>
          <w:lang w:eastAsia="zh-CN"/>
        </w:rPr>
      </w:pPr>
    </w:p>
    <w:p w14:paraId="3A2DFFBA" w14:textId="77777777" w:rsidR="001865F9" w:rsidRDefault="001865F9" w:rsidP="008E75D7">
      <w:pPr>
        <w:pStyle w:val="LGTdoc"/>
        <w:spacing w:before="120" w:afterLines="0" w:line="240" w:lineRule="auto"/>
        <w:rPr>
          <w:rFonts w:eastAsia="SimSun"/>
          <w:sz w:val="20"/>
          <w:szCs w:val="20"/>
          <w:lang w:eastAsia="zh-CN"/>
        </w:rPr>
      </w:pPr>
    </w:p>
    <w:p w14:paraId="11B85059" w14:textId="77777777" w:rsidR="001865F9" w:rsidRDefault="001865F9" w:rsidP="008E75D7">
      <w:pPr>
        <w:pStyle w:val="LGTdoc"/>
        <w:spacing w:before="120" w:afterLines="0" w:line="240" w:lineRule="auto"/>
        <w:rPr>
          <w:rFonts w:eastAsia="SimSun"/>
          <w:sz w:val="20"/>
          <w:szCs w:val="20"/>
          <w:lang w:eastAsia="zh-CN"/>
        </w:rPr>
      </w:pPr>
    </w:p>
    <w:p w14:paraId="66EF2EA3" w14:textId="77777777" w:rsidR="006B731A" w:rsidRDefault="006B731A" w:rsidP="008E75D7">
      <w:pPr>
        <w:pStyle w:val="LGTdoc"/>
        <w:spacing w:before="120" w:afterLines="0" w:line="288" w:lineRule="auto"/>
        <w:rPr>
          <w:rFonts w:eastAsia="SimSun"/>
          <w:sz w:val="20"/>
          <w:szCs w:val="20"/>
          <w:lang w:eastAsia="zh-CN"/>
        </w:rPr>
      </w:pPr>
    </w:p>
    <w:p w14:paraId="00DD07EC" w14:textId="77777777" w:rsidR="00867A42" w:rsidRPr="0003733A" w:rsidRDefault="0049294D" w:rsidP="00595CF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157CFE">
        <w:rPr>
          <w:rFonts w:eastAsia="SimSun"/>
          <w:sz w:val="20"/>
          <w:szCs w:val="20"/>
          <w:lang w:eastAsia="zh-CN"/>
        </w:rPr>
        <w:t xml:space="preserve">sub-7 GHz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r w:rsidR="00625FE0">
        <w:rPr>
          <w:rFonts w:eastAsia="SimSun"/>
          <w:sz w:val="20"/>
          <w:szCs w:val="20"/>
          <w:lang w:eastAsia="zh-CN"/>
        </w:rPr>
        <w:t>baseline channel access framework</w:t>
      </w:r>
      <w:r w:rsidR="00907458">
        <w:rPr>
          <w:rFonts w:eastAsia="SimSun"/>
          <w:sz w:val="20"/>
          <w:szCs w:val="20"/>
          <w:lang w:eastAsia="zh-CN"/>
        </w:rPr>
        <w:t xml:space="preserve">, </w:t>
      </w:r>
      <w:r w:rsidR="00F8793F">
        <w:rPr>
          <w:rFonts w:eastAsia="SimSun"/>
          <w:sz w:val="20"/>
          <w:szCs w:val="20"/>
          <w:lang w:eastAsia="zh-CN"/>
        </w:rPr>
        <w:t>no-LBT option</w:t>
      </w:r>
      <w:r w:rsidR="00907458">
        <w:rPr>
          <w:rFonts w:eastAsia="SimSun"/>
          <w:sz w:val="20"/>
          <w:szCs w:val="20"/>
          <w:lang w:eastAsia="zh-CN"/>
        </w:rPr>
        <w:t xml:space="preserve">, </w:t>
      </w:r>
      <w:r w:rsidR="00625FE0">
        <w:rPr>
          <w:rFonts w:eastAsia="SimSun"/>
          <w:sz w:val="20"/>
          <w:szCs w:val="20"/>
          <w:lang w:eastAsia="zh-CN"/>
        </w:rPr>
        <w:t xml:space="preserve">LBT for wide-band operations, </w:t>
      </w:r>
      <w:r w:rsidR="00F8793F">
        <w:rPr>
          <w:rFonts w:eastAsia="SimSun"/>
          <w:sz w:val="20"/>
          <w:szCs w:val="20"/>
          <w:lang w:eastAsia="zh-CN"/>
        </w:rPr>
        <w:t xml:space="preserve">LBT with handshake mechanism, </w:t>
      </w:r>
      <w:r w:rsidR="00AB2F27">
        <w:rPr>
          <w:rFonts w:eastAsia="SimSun"/>
          <w:sz w:val="20"/>
          <w:szCs w:val="20"/>
          <w:lang w:eastAsia="zh-CN"/>
        </w:rPr>
        <w:t>LBT for SS/PBCH blocks</w:t>
      </w:r>
      <w:r w:rsidR="00077840">
        <w:rPr>
          <w:rFonts w:eastAsia="SimSun"/>
          <w:sz w:val="20"/>
          <w:szCs w:val="20"/>
          <w:lang w:eastAsia="zh-CN"/>
        </w:rPr>
        <w:t xml:space="preserve"> and random access</w:t>
      </w:r>
      <w:r w:rsidR="003B150C">
        <w:rPr>
          <w:rFonts w:eastAsia="SimSun"/>
          <w:sz w:val="20"/>
          <w:szCs w:val="20"/>
          <w:lang w:eastAsia="zh-CN"/>
        </w:rPr>
        <w:t>, and LBT for FBE-based NR-U</w:t>
      </w:r>
      <w:r w:rsidR="002B5511">
        <w:rPr>
          <w:rFonts w:eastAsia="SimSun"/>
          <w:sz w:val="20"/>
          <w:szCs w:val="20"/>
          <w:lang w:eastAsia="zh-CN"/>
        </w:rPr>
        <w:t>.</w:t>
      </w:r>
    </w:p>
    <w:p w14:paraId="3A85A102" w14:textId="77777777" w:rsidR="00CF307F" w:rsidRPr="00122A54" w:rsidRDefault="00CA29EF"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 xml:space="preserve">Baseline </w:t>
      </w:r>
      <w:r w:rsidR="00754366" w:rsidRPr="00122A54">
        <w:rPr>
          <w:rFonts w:eastAsia="Batang"/>
          <w:sz w:val="28"/>
          <w:lang w:val="en-US" w:eastAsia="ko-KR"/>
        </w:rPr>
        <w:t>Channel Access Framework</w:t>
      </w:r>
      <w:r w:rsidR="00DD6C3A" w:rsidRPr="00122A54">
        <w:rPr>
          <w:rFonts w:eastAsia="Batang"/>
          <w:sz w:val="28"/>
          <w:lang w:val="en-US" w:eastAsia="ko-KR"/>
        </w:rPr>
        <w:t>s</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337E8D04" w14:textId="77777777" w:rsidR="00110744" w:rsidRDefault="00A75C7D" w:rsidP="00595CF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Malgun Gothic" w:hint="eastAsia"/>
          <w:lang w:eastAsia="ko-KR"/>
        </w:rPr>
        <w:t>F</w:t>
      </w:r>
      <w:r w:rsidR="008E75D7">
        <w:t>eLAA</w:t>
      </w:r>
      <w:r>
        <w:t xml:space="preserve">) introduced energy detection 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baseline</w:t>
      </w:r>
      <w:r w:rsidR="00E556F6">
        <w:t xml:space="preserve"> channel access framework for</w:t>
      </w:r>
      <w:r w:rsidR="007428A4">
        <w:t xml:space="preserve"> </w:t>
      </w:r>
      <w:r w:rsidR="00463857">
        <w:t>sub-7 GHz NR-U</w:t>
      </w:r>
      <w:r>
        <w:t xml:space="preserve">. </w:t>
      </w:r>
    </w:p>
    <w:p w14:paraId="18F495BE" w14:textId="77777777" w:rsidR="004C382C" w:rsidRDefault="004C382C" w:rsidP="004C382C">
      <w:pPr>
        <w:spacing w:line="288" w:lineRule="auto"/>
        <w:jc w:val="both"/>
      </w:pPr>
      <w:r>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eNB, for which at least some HARQ-ACK feedback is expected to be available. </w:t>
      </w:r>
    </w:p>
    <w:p w14:paraId="7A2151D7" w14:textId="2AB85296" w:rsidR="004C382C" w:rsidRPr="00942EEF" w:rsidRDefault="006D7313" w:rsidP="00595CF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r w:rsidRPr="006D7313">
        <w:rPr>
          <w:lang w:val="en-GB"/>
        </w:rPr>
        <w:t xml:space="preserve">ms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ranges from 0 to 15 slots</w:t>
      </w:r>
      <w:r w:rsidRPr="006D7313">
        <w:rPr>
          <w:lang w:val="en-GB"/>
        </w:rPr>
        <w:t xml:space="preserve">. In addition, NR also supports code-block group (CBG)-based HARQ-ACK feedback compared to only the transport block (TB)-based HARQ-ACK feedback for LTE-LAA.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6B4DB1AB" w14:textId="529EBAB7" w:rsidR="005F3DEE" w:rsidRDefault="00A340FF" w:rsidP="00A340FF">
      <w:pPr>
        <w:spacing w:line="288" w:lineRule="auto"/>
        <w:jc w:val="both"/>
        <w:rPr>
          <w:lang w:val="en-GB"/>
        </w:rPr>
      </w:pPr>
      <w:r w:rsidRPr="00DD34CF">
        <w:t xml:space="preserve">Specifically, the CWS adaptation for NR-U can </w:t>
      </w:r>
      <w:r w:rsidR="00D91B4F" w:rsidRPr="00DD34CF">
        <w:t xml:space="preserve">be </w:t>
      </w:r>
      <w:r w:rsidRPr="00DD34CF">
        <w:t xml:space="preserve">based on </w:t>
      </w:r>
      <w:r w:rsidR="0022551C" w:rsidRPr="00DD34CF">
        <w:t xml:space="preserve">the </w:t>
      </w:r>
      <w:r w:rsidRPr="00DD34CF">
        <w:t xml:space="preserve">HARQ-ACK values corresponding to the PDSCH transmission(s) </w:t>
      </w:r>
      <w:r w:rsidRPr="008426E0">
        <w:t xml:space="preserve">in the </w:t>
      </w:r>
      <w:r w:rsidR="0022551C" w:rsidRPr="008426E0">
        <w:t xml:space="preserve">first </w:t>
      </w:r>
      <w:r w:rsidRPr="008426E0">
        <w:t>slot of a reference transmission burst on the carrier of the gNB</w:t>
      </w:r>
      <w:r w:rsidRPr="00DD34CF">
        <w:t xml:space="preserve">. </w:t>
      </w:r>
      <w:r w:rsidR="00AE470F" w:rsidRPr="00DD34CF">
        <w:t xml:space="preserve">Furthermore, since the time-domain duration of each NR-U PDSCH can be shorter than one slot (e.g., TDM’ed mini-slots for different UEs), </w:t>
      </w:r>
      <w:r w:rsidR="00CE1D0F" w:rsidRPr="00DD34CF">
        <w:t xml:space="preserve">the CWS adaptation can be only based </w:t>
      </w:r>
      <w:r w:rsidR="00AE470F" w:rsidRPr="00DD34CF">
        <w:t xml:space="preserve">the </w:t>
      </w:r>
      <w:r w:rsidR="00CE1D0F" w:rsidRPr="00DD34CF">
        <w:t xml:space="preserve">HARQ-ACK values of the </w:t>
      </w:r>
      <w:r w:rsidR="00AE470F" w:rsidRPr="00DD34CF">
        <w:t>PDSCH</w:t>
      </w:r>
      <w:r w:rsidR="00CE1D0F" w:rsidRPr="00DD34CF">
        <w:t>(</w:t>
      </w:r>
      <w:r w:rsidR="00AE470F" w:rsidRPr="00DD34CF">
        <w:t>s</w:t>
      </w:r>
      <w:r w:rsidR="00CE1D0F" w:rsidRPr="00DD34CF">
        <w:t>)</w:t>
      </w:r>
      <w:r w:rsidR="00AE470F" w:rsidRPr="00DD34CF">
        <w:t xml:space="preserve"> </w:t>
      </w:r>
      <w:r w:rsidR="001A2AAF">
        <w:t xml:space="preserve">that </w:t>
      </w:r>
      <w:r w:rsidR="00AE470F" w:rsidRPr="008426E0">
        <w:t xml:space="preserve">starts from the beginning of the </w:t>
      </w:r>
      <w:r w:rsidR="00CE1D0F" w:rsidRPr="008426E0">
        <w:t>reference slot</w:t>
      </w:r>
      <w:r w:rsidR="00AE470F" w:rsidRPr="00DD34CF">
        <w:t>.</w:t>
      </w:r>
      <w:r w:rsidR="008567D4" w:rsidRPr="00DD34CF">
        <w:t xml:space="preserve"> This is because the first PDSCH transmissions in the first slot within a transmission burst are more likely to be the victims </w:t>
      </w:r>
      <w:r w:rsidR="008567D4" w:rsidRPr="00DD34CF">
        <w:lastRenderedPageBreak/>
        <w:t>of collisions.</w:t>
      </w:r>
      <w:r w:rsidR="00F644B9" w:rsidRPr="00DD34CF">
        <w:t xml:space="preserve"> </w:t>
      </w:r>
      <w:r w:rsidR="00F45095" w:rsidRPr="00DD34CF">
        <w:t>Due to the highly flexible HARQ-ACK feedbacks timing,</w:t>
      </w:r>
      <w:r w:rsidR="00D22536" w:rsidRPr="00DD34CF">
        <w:t xml:space="preserve"> </w:t>
      </w:r>
      <w:r w:rsidR="00F45095" w:rsidRPr="00DD34CF">
        <w:t xml:space="preserve">it is difficult to define a fixed minimum latency for </w:t>
      </w:r>
      <w:r w:rsidR="00444BCB" w:rsidRPr="00DD34CF">
        <w:t xml:space="preserve">NR-U </w:t>
      </w:r>
      <w:r w:rsidR="00F45095" w:rsidRPr="00DD34CF">
        <w:t>reference slot</w:t>
      </w:r>
      <w:r w:rsidR="00444BCB" w:rsidRPr="00DD34CF">
        <w:t>,</w:t>
      </w:r>
      <w:r w:rsidR="00F45095" w:rsidRPr="00DD34CF">
        <w:t xml:space="preserve"> </w:t>
      </w:r>
      <w:r w:rsidR="00444BCB" w:rsidRPr="00DD34CF">
        <w:t>as in the case of</w:t>
      </w:r>
      <w:r w:rsidR="00F45095" w:rsidRPr="00DD34CF">
        <w:t xml:space="preserve"> LTE-LAA</w:t>
      </w:r>
      <w:r w:rsidR="00444BCB" w:rsidRPr="00DD34CF">
        <w:t xml:space="preserve"> (i.e., 4ms)</w:t>
      </w:r>
      <w:r w:rsidR="00F45095" w:rsidRPr="00DD34CF">
        <w:t>.</w:t>
      </w:r>
      <w:r w:rsidR="00D22536" w:rsidRPr="00DD34CF">
        <w:t xml:space="preserve"> </w:t>
      </w:r>
      <w:r w:rsidR="00234115" w:rsidRPr="00DD34CF">
        <w:t xml:space="preserve">A </w:t>
      </w:r>
      <w:r w:rsidR="00D22536" w:rsidRPr="00DD34CF">
        <w:t>reference transmission burst can be defined</w:t>
      </w:r>
      <w:r w:rsidR="00F45095" w:rsidRPr="00DD34CF">
        <w:t xml:space="preserve"> </w:t>
      </w:r>
      <w:r w:rsidR="00D22536" w:rsidRPr="00DD34CF">
        <w:t>for NR-U</w:t>
      </w:r>
      <w:r w:rsidR="00F45095" w:rsidRPr="00DD34CF">
        <w:t xml:space="preserve"> instead, which can be</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within this burst is expected to be available by the time gNB performs CWS adaptation.</w:t>
      </w:r>
      <w:r w:rsidR="007C13BC" w:rsidRPr="00DD34CF">
        <w:t xml:space="preserve"> </w:t>
      </w:r>
    </w:p>
    <w:p w14:paraId="1EA5E409" w14:textId="77777777" w:rsidR="00C56CA6" w:rsidRPr="003410C5" w:rsidRDefault="00C56CA6" w:rsidP="00C56CA6">
      <w:pPr>
        <w:spacing w:line="288" w:lineRule="auto"/>
        <w:jc w:val="both"/>
      </w:pPr>
      <w:r w:rsidRPr="003410C5">
        <w:t>An illustration of the timing relation is provided in Figure 1</w:t>
      </w:r>
      <w:r>
        <w:t xml:space="preserve">, wherein the gNB attempts a new LBT process and updates the CWS on slot </w:t>
      </w:r>
      <w:r w:rsidRPr="00827F38">
        <w:rPr>
          <w:i/>
        </w:rPr>
        <w:t>n</w:t>
      </w:r>
      <w:r>
        <w:rPr>
          <w:rFonts w:hint="eastAsia"/>
          <w:i/>
        </w:rPr>
        <w:t>-2</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t>update</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5D29EAEF" w14:textId="77777777" w:rsidR="00372BF1" w:rsidRDefault="00372BF1" w:rsidP="005F3DEE">
      <w:pPr>
        <w:spacing w:line="288" w:lineRule="auto"/>
        <w:jc w:val="center"/>
      </w:pPr>
    </w:p>
    <w:p w14:paraId="2C26BF79" w14:textId="77777777" w:rsidR="007A3CD9" w:rsidRDefault="00C56CA6" w:rsidP="005F3DEE">
      <w:pPr>
        <w:spacing w:line="288" w:lineRule="auto"/>
        <w:jc w:val="center"/>
      </w:pPr>
      <w:r>
        <w:object w:dxaOrig="13747" w:dyaOrig="6464" w14:anchorId="06995B5E">
          <v:shape id="_x0000_i1027" type="#_x0000_t75" style="width:206.4pt;height:96.8pt" o:ole="">
            <v:imagedata r:id="rId8" o:title=""/>
          </v:shape>
          <o:OLEObject Type="Embed" ProgID="Visio.Drawing.11" ShapeID="_x0000_i1027" DrawAspect="Content" ObjectID="_1599646926" r:id="rId9"/>
        </w:object>
      </w:r>
    </w:p>
    <w:p w14:paraId="658C46F8" w14:textId="77777777" w:rsidR="00A340FF" w:rsidRDefault="005F3DEE" w:rsidP="005F3DEE">
      <w:pPr>
        <w:spacing w:line="288" w:lineRule="auto"/>
        <w:jc w:val="center"/>
      </w:pPr>
      <w:r>
        <w:t>Figure 1</w:t>
      </w:r>
      <w:r w:rsidR="0004271E">
        <w:t>. An example of the reference slot</w:t>
      </w:r>
    </w:p>
    <w:p w14:paraId="518B72E8" w14:textId="0AAA1CE0" w:rsidR="00D91B4F" w:rsidRPr="00D91B4F" w:rsidRDefault="00D91B4F" w:rsidP="00D91B4F">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1</w:t>
      </w:r>
      <w:r w:rsidRPr="006009E6">
        <w:rPr>
          <w:rFonts w:eastAsia="MS Mincho"/>
          <w:b/>
          <w:u w:val="single"/>
          <w:lang w:eastAsia="ja-JP"/>
        </w:rPr>
        <w:t>:</w:t>
      </w:r>
      <w:r>
        <w:rPr>
          <w:rFonts w:eastAsia="MS Mincho"/>
          <w:b/>
          <w:u w:val="single"/>
          <w:lang w:eastAsia="ja-JP"/>
        </w:rPr>
        <w:t xml:space="preserve"> </w:t>
      </w:r>
      <w:r w:rsidRPr="00D91B4F">
        <w:rPr>
          <w:rFonts w:eastAsia="MS Mincho"/>
          <w:b/>
          <w:u w:val="single"/>
          <w:lang w:eastAsia="ja-JP"/>
        </w:rPr>
        <w:t xml:space="preserve">CWS adaptation can </w:t>
      </w:r>
      <w:r>
        <w:rPr>
          <w:rFonts w:eastAsia="MS Mincho"/>
          <w:b/>
          <w:u w:val="single"/>
          <w:lang w:eastAsia="ja-JP"/>
        </w:rPr>
        <w:t xml:space="preserve">be </w:t>
      </w:r>
      <w:r w:rsidRPr="00D91B4F">
        <w:rPr>
          <w:rFonts w:eastAsia="MS Mincho"/>
          <w:b/>
          <w:u w:val="single"/>
          <w:lang w:eastAsia="ja-JP"/>
        </w:rPr>
        <w:t xml:space="preserve">based on </w:t>
      </w:r>
      <w:r w:rsidR="00404A11">
        <w:rPr>
          <w:rFonts w:eastAsia="MS Mincho"/>
          <w:b/>
          <w:u w:val="single"/>
          <w:lang w:eastAsia="ja-JP"/>
        </w:rPr>
        <w:t xml:space="preserve">the </w:t>
      </w:r>
      <w:r w:rsidRPr="00D91B4F">
        <w:rPr>
          <w:rFonts w:eastAsia="MS Mincho"/>
          <w:b/>
          <w:u w:val="single"/>
          <w:lang w:eastAsia="ja-JP"/>
        </w:rPr>
        <w:t>HARQ-</w:t>
      </w:r>
      <w:r>
        <w:rPr>
          <w:rFonts w:eastAsia="MS Mincho"/>
          <w:b/>
          <w:u w:val="single"/>
          <w:lang w:eastAsia="ja-JP"/>
        </w:rPr>
        <w:t xml:space="preserve">ACK values </w:t>
      </w:r>
      <w:r w:rsidR="00404A11">
        <w:rPr>
          <w:rFonts w:eastAsia="MS Mincho"/>
          <w:b/>
          <w:u w:val="single"/>
          <w:lang w:eastAsia="ja-JP"/>
        </w:rPr>
        <w:t>for</w:t>
      </w:r>
      <w:r>
        <w:rPr>
          <w:rFonts w:eastAsia="MS Mincho"/>
          <w:b/>
          <w:u w:val="single"/>
          <w:lang w:eastAsia="ja-JP"/>
        </w:rPr>
        <w:t xml:space="preserve"> </w:t>
      </w:r>
      <w:r w:rsidRPr="00D91B4F">
        <w:rPr>
          <w:rFonts w:eastAsia="MS Mincho"/>
          <w:b/>
          <w:u w:val="single"/>
          <w:lang w:eastAsia="ja-JP"/>
        </w:rPr>
        <w:t>the first slot o</w:t>
      </w:r>
      <w:r>
        <w:rPr>
          <w:rFonts w:eastAsia="MS Mincho"/>
          <w:b/>
          <w:u w:val="single"/>
          <w:lang w:eastAsia="ja-JP"/>
        </w:rPr>
        <w:t xml:space="preserve">f </w:t>
      </w:r>
      <w:r w:rsidRPr="00D91B4F">
        <w:rPr>
          <w:rFonts w:eastAsia="MS Mincho"/>
          <w:b/>
          <w:u w:val="single"/>
          <w:lang w:eastAsia="ja-JP"/>
        </w:rPr>
        <w:t>the most recent transmission burst</w:t>
      </w:r>
      <w:r>
        <w:rPr>
          <w:rFonts w:eastAsia="MS Mincho"/>
          <w:b/>
          <w:u w:val="single"/>
          <w:lang w:eastAsia="ja-JP"/>
        </w:rPr>
        <w:t>,</w:t>
      </w:r>
      <w:r w:rsidRPr="00D91B4F">
        <w:rPr>
          <w:rFonts w:eastAsia="MS Mincho"/>
          <w:b/>
          <w:u w:val="single"/>
          <w:lang w:eastAsia="ja-JP"/>
        </w:rPr>
        <w:t xml:space="preserve"> wherein at least some HARQ-ACK feedbacks </w:t>
      </w:r>
      <w:r w:rsidR="0012170D">
        <w:rPr>
          <w:rFonts w:eastAsia="MS Mincho"/>
          <w:b/>
          <w:u w:val="single"/>
          <w:lang w:eastAsia="ja-JP"/>
        </w:rPr>
        <w:t>correspond</w:t>
      </w:r>
      <w:r w:rsidR="00404A11">
        <w:rPr>
          <w:rFonts w:eastAsia="MS Mincho"/>
          <w:b/>
          <w:u w:val="single"/>
          <w:lang w:eastAsia="ja-JP"/>
        </w:rPr>
        <w:t>ing</w:t>
      </w:r>
      <w:r w:rsidR="0012170D">
        <w:rPr>
          <w:rFonts w:eastAsia="MS Mincho"/>
          <w:b/>
          <w:u w:val="single"/>
          <w:lang w:eastAsia="ja-JP"/>
        </w:rPr>
        <w:t xml:space="preserve"> to the first slot </w:t>
      </w:r>
      <w:r w:rsidRPr="00D91B4F">
        <w:rPr>
          <w:rFonts w:eastAsia="MS Mincho"/>
          <w:b/>
          <w:u w:val="single"/>
          <w:lang w:eastAsia="ja-JP"/>
        </w:rPr>
        <w:t>within this burst is expected to be available by the time gNB performs CWS adaptation</w:t>
      </w:r>
      <w:r>
        <w:rPr>
          <w:rFonts w:eastAsia="MS Mincho"/>
          <w:b/>
          <w:u w:val="single"/>
          <w:lang w:eastAsia="ja-JP"/>
        </w:rPr>
        <w:t>.</w:t>
      </w:r>
    </w:p>
    <w:p w14:paraId="6DC40DD0" w14:textId="77777777" w:rsidR="00E43CAA" w:rsidRDefault="00E43CAA" w:rsidP="00C53FDA">
      <w:pPr>
        <w:spacing w:line="288" w:lineRule="auto"/>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p>
    <w:p w14:paraId="1552D51C" w14:textId="3B227A24" w:rsidR="003F7C4C" w:rsidRDefault="003F7C4C" w:rsidP="00C53FDA">
      <w:pPr>
        <w:spacing w:line="288" w:lineRule="auto"/>
        <w:rPr>
          <w:b/>
          <w:u w:val="single"/>
        </w:rPr>
      </w:pPr>
      <w:r>
        <w:rPr>
          <w:rFonts w:eastAsia="MS Mincho"/>
          <w:b/>
          <w:u w:val="single"/>
          <w:lang w:eastAsia="ja-JP"/>
        </w:rPr>
        <w:t xml:space="preserve">Proposal </w:t>
      </w:r>
      <w:r w:rsidR="002C5830">
        <w:rPr>
          <w:b/>
          <w:u w:val="single"/>
        </w:rPr>
        <w:t>2</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25C6400E" w14:textId="77777777" w:rsidR="00C856F7" w:rsidRDefault="00C856F7" w:rsidP="00C53FDA">
      <w:pPr>
        <w:spacing w:line="288" w:lineRule="auto"/>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AD4BAFF" w14:textId="06D2EF3A" w:rsidR="00DD34CF" w:rsidRPr="00C856F7" w:rsidRDefault="00C856F7" w:rsidP="00C53FDA">
      <w:pPr>
        <w:spacing w:line="288" w:lineRule="auto"/>
        <w:rPr>
          <w:b/>
          <w:u w:val="single"/>
        </w:rPr>
      </w:pPr>
      <w:r w:rsidRPr="002C5830">
        <w:rPr>
          <w:rFonts w:eastAsia="MS Mincho"/>
          <w:b/>
          <w:u w:val="single"/>
          <w:lang w:eastAsia="ja-JP"/>
        </w:rPr>
        <w:t xml:space="preserve">Proposal </w:t>
      </w:r>
      <w:r w:rsidR="002C5830" w:rsidRPr="002C5830">
        <w:rPr>
          <w:b/>
          <w:u w:val="single"/>
        </w:rPr>
        <w:t>3</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2E16BDC0" w14:textId="77777777" w:rsidR="00690900" w:rsidRDefault="00A75C7D" w:rsidP="00595CF0">
      <w:pPr>
        <w:spacing w:line="288" w:lineRule="auto"/>
        <w:jc w:val="both"/>
      </w:pPr>
      <w:r>
        <w:t>To support the multi-beam operati</w:t>
      </w:r>
      <w:r w:rsidR="00563649">
        <w:t xml:space="preserve">on of </w:t>
      </w:r>
      <w:r w:rsidR="00C36AE7">
        <w:t xml:space="preserve">sub-7 GHz </w:t>
      </w:r>
      <w:r w:rsidR="00563649">
        <w:t>NR-U</w:t>
      </w:r>
      <w:r>
        <w:t xml:space="preserve">, the directionality is </w:t>
      </w:r>
      <w:r w:rsidR="00356698">
        <w:t xml:space="preserve">also </w:t>
      </w:r>
      <w:r>
        <w:t>an important design consideration</w:t>
      </w:r>
      <w:r w:rsidR="00C16C8F">
        <w:t xml:space="preserve"> for the </w:t>
      </w:r>
      <w:r w:rsidR="007F6207">
        <w:t>LBT operation</w:t>
      </w:r>
      <w:r>
        <w:t xml:space="preserve">. </w:t>
      </w:r>
      <w:r w:rsidR="00D213CD">
        <w:t>The baseline</w:t>
      </w:r>
      <w:r w:rsidR="002F1AF6">
        <w:t xml:space="preserve"> option</w:t>
      </w:r>
      <w:r>
        <w:t xml:space="preserve"> to pe</w:t>
      </w:r>
      <w:r w:rsidR="002F1AF6">
        <w:t>rform LBT omn</w:t>
      </w:r>
      <w:r w:rsidR="00CD15F1">
        <w:t>i-directionally</w:t>
      </w:r>
      <w:r>
        <w:t xml:space="preserve"> </w:t>
      </w:r>
      <w:r w:rsidR="008773DE">
        <w:t>by the potential transmitter</w:t>
      </w:r>
      <w:r w:rsidR="000742CB">
        <w:t xml:space="preserve"> </w:t>
      </w:r>
      <w:r w:rsidR="007428A4">
        <w:t xml:space="preserve">can </w:t>
      </w:r>
      <w:r>
        <w:t xml:space="preserve">provide good coexistence with the incumbent systems, </w:t>
      </w:r>
      <w:r w:rsidR="00300B9A">
        <w:t>such as when NR-U coexist with anoth</w:t>
      </w:r>
      <w:r w:rsidR="00890B88">
        <w:t xml:space="preserve">er Wi-Fi network in 5 GHz band. </w:t>
      </w:r>
      <w:r w:rsidR="00925C38">
        <w:t>A</w:t>
      </w:r>
      <w:r w:rsidR="00374BAD">
        <w:t xml:space="preserve">nother option </w:t>
      </w:r>
      <w:r w:rsidR="00AE4C6F">
        <w:t xml:space="preserve">to cope with directional transmissions </w:t>
      </w:r>
      <w:r w:rsidR="007428A4">
        <w:t>of</w:t>
      </w:r>
      <w:r w:rsidR="00AE4C6F">
        <w:t xml:space="preserve"> NR-U</w:t>
      </w:r>
      <w:r w:rsidR="00263702">
        <w:t xml:space="preserve"> </w:t>
      </w:r>
      <w:r w:rsidR="00D17E16">
        <w:t xml:space="preserve">and improve spatial </w:t>
      </w:r>
      <w:r w:rsidR="00D85F7F">
        <w:t>reuse</w:t>
      </w:r>
      <w:r w:rsidR="00D17E16">
        <w:t xml:space="preserve"> </w:t>
      </w:r>
      <w:r>
        <w:t xml:space="preserve">is for the potential transmitter to perform </w:t>
      </w:r>
      <w:r w:rsidR="00377EF1">
        <w:lastRenderedPageBreak/>
        <w:t xml:space="preserve">a </w:t>
      </w:r>
      <w:r>
        <w:t xml:space="preserve">directional LBT over </w:t>
      </w:r>
      <w:r w:rsidR="00210367">
        <w:t>its</w:t>
      </w:r>
      <w:r>
        <w:t xml:space="preserve"> intended transmit </w:t>
      </w:r>
      <w:r w:rsidR="00374BAD">
        <w:t xml:space="preserve">beam </w:t>
      </w:r>
      <w:r>
        <w:t>direction</w:t>
      </w:r>
      <w:r w:rsidR="00660FA8">
        <w:t xml:space="preserve">. </w:t>
      </w:r>
      <w:r w:rsidR="00890B88">
        <w:t>This option can be used for NR-U and NR-U coexistence in</w:t>
      </w:r>
      <w:r w:rsidR="000D5FBF">
        <w:t xml:space="preserve"> the</w:t>
      </w:r>
      <w:r w:rsidR="007B0F5E">
        <w:t xml:space="preserve"> both sub-7 GHz unlicensed </w:t>
      </w:r>
      <w:r w:rsidR="00890B88">
        <w:t>band</w:t>
      </w:r>
      <w:r w:rsidR="007B0F5E">
        <w:t>s as well as above 7 GHz unlicensed bands</w:t>
      </w:r>
      <w:r w:rsidR="00890B88">
        <w:t xml:space="preserve">. </w:t>
      </w:r>
      <w:r>
        <w:t xml:space="preserve">However, </w:t>
      </w:r>
      <w:r w:rsidR="00690900">
        <w:t xml:space="preserve">for directional communications wherein the interference perceived by the directional transmitter and its associated directional receiver differ drastically, </w:t>
      </w:r>
      <w:r>
        <w:t xml:space="preserve">the effect of hidden node issue and exposed node issue </w:t>
      </w:r>
      <w:r w:rsidR="00912E35">
        <w:t>for directional LBT</w:t>
      </w:r>
      <w:r>
        <w:t xml:space="preserve"> </w:t>
      </w:r>
      <w:r w:rsidR="00912E35">
        <w:t>may be increased</w:t>
      </w:r>
      <w:r w:rsidR="00AB5EC2">
        <w:t xml:space="preserve"> compared to omni-directional LBT</w:t>
      </w:r>
      <w:r w:rsidR="00DA6248">
        <w:rPr>
          <w:rFonts w:eastAsia="MS Mincho"/>
          <w:lang w:eastAsia="ja-JP"/>
        </w:rPr>
        <w:t xml:space="preserve">. </w:t>
      </w:r>
    </w:p>
    <w:p w14:paraId="397A44EB" w14:textId="653040D6" w:rsidR="00517FEB" w:rsidRDefault="00A75C7D" w:rsidP="000A72F5">
      <w:pPr>
        <w:spacing w:line="288" w:lineRule="auto"/>
        <w:rPr>
          <w:rFonts w:eastAsia="MS Mincho"/>
          <w:b/>
          <w:u w:val="single"/>
          <w:lang w:eastAsia="ja-JP"/>
        </w:rPr>
      </w:pPr>
      <w:r>
        <w:rPr>
          <w:rFonts w:eastAsia="MS Mincho"/>
          <w:b/>
          <w:u w:val="single"/>
          <w:lang w:eastAsia="ja-JP"/>
        </w:rPr>
        <w:t xml:space="preserve">Proposal </w:t>
      </w:r>
      <w:r w:rsidR="002C5830">
        <w:rPr>
          <w:b/>
          <w:u w:val="single"/>
        </w:rPr>
        <w:t>4</w:t>
      </w:r>
      <w:r w:rsidRPr="006009E6">
        <w:rPr>
          <w:rFonts w:eastAsia="MS Mincho"/>
          <w:b/>
          <w:u w:val="single"/>
          <w:lang w:eastAsia="ja-JP"/>
        </w:rPr>
        <w:t xml:space="preserve">: </w:t>
      </w:r>
      <w:r w:rsidR="00DE22D1">
        <w:rPr>
          <w:rFonts w:eastAsia="MS Mincho"/>
          <w:b/>
          <w:u w:val="single"/>
          <w:lang w:eastAsia="ja-JP"/>
        </w:rPr>
        <w:t>S</w:t>
      </w:r>
      <w:r w:rsidR="00B70641">
        <w:rPr>
          <w:rFonts w:eastAsia="MS Mincho"/>
          <w:b/>
          <w:u w:val="single"/>
          <w:lang w:eastAsia="ja-JP"/>
        </w:rPr>
        <w:t xml:space="preserve">upport directional LBT </w:t>
      </w:r>
      <w:r w:rsidR="002B5B2C">
        <w:rPr>
          <w:rFonts w:eastAsia="MS Mincho"/>
          <w:b/>
          <w:u w:val="single"/>
          <w:lang w:eastAsia="ja-JP"/>
        </w:rPr>
        <w:t>at least for</w:t>
      </w:r>
      <w:r w:rsidR="00DE22D1">
        <w:rPr>
          <w:rFonts w:eastAsia="MS Mincho"/>
          <w:b/>
          <w:u w:val="single"/>
          <w:lang w:eastAsia="ja-JP"/>
        </w:rPr>
        <w:t xml:space="preserve"> </w:t>
      </w:r>
      <w:r w:rsidR="00EE4426">
        <w:rPr>
          <w:rFonts w:eastAsia="MS Mincho"/>
          <w:b/>
          <w:u w:val="single"/>
          <w:lang w:eastAsia="ja-JP"/>
        </w:rPr>
        <w:t>NR-U</w:t>
      </w:r>
      <w:r w:rsidR="005C0754">
        <w:rPr>
          <w:rFonts w:eastAsia="MS Mincho"/>
          <w:b/>
          <w:u w:val="single"/>
          <w:lang w:eastAsia="ja-JP"/>
        </w:rPr>
        <w:t>/NR-U coexistence</w:t>
      </w:r>
      <w:r w:rsidR="000C180D">
        <w:rPr>
          <w:rFonts w:eastAsia="MS Mincho"/>
          <w:b/>
          <w:u w:val="single"/>
          <w:lang w:eastAsia="ja-JP"/>
        </w:rPr>
        <w:t xml:space="preserve">, </w:t>
      </w:r>
      <w:r w:rsidR="00B70641">
        <w:rPr>
          <w:rFonts w:eastAsia="MS Mincho"/>
          <w:b/>
          <w:u w:val="single"/>
          <w:lang w:eastAsia="ja-JP"/>
        </w:rPr>
        <w:t xml:space="preserve">and </w:t>
      </w:r>
      <w:r w:rsidR="0077027C">
        <w:rPr>
          <w:rFonts w:eastAsia="MS Mincho"/>
          <w:b/>
          <w:u w:val="single"/>
          <w:lang w:eastAsia="ja-JP"/>
        </w:rPr>
        <w:t xml:space="preserve">further </w:t>
      </w:r>
      <w:r w:rsidR="00B70641">
        <w:rPr>
          <w:rFonts w:eastAsia="MS Mincho"/>
          <w:b/>
          <w:u w:val="single"/>
          <w:lang w:eastAsia="ja-JP"/>
        </w:rPr>
        <w:t>evaluate the</w:t>
      </w:r>
      <w:r w:rsidR="00BB1D4E">
        <w:rPr>
          <w:rFonts w:eastAsia="MS Mincho"/>
          <w:b/>
          <w:u w:val="single"/>
          <w:lang w:eastAsia="ja-JP"/>
        </w:rPr>
        <w:t xml:space="preserve"> directional LBT </w:t>
      </w:r>
      <w:r w:rsidR="0077027C">
        <w:rPr>
          <w:rFonts w:eastAsia="MS Mincho"/>
          <w:b/>
          <w:u w:val="single"/>
          <w:lang w:eastAsia="ja-JP"/>
        </w:rPr>
        <w:t xml:space="preserve">performance </w:t>
      </w:r>
      <w:r w:rsidR="00BB1D4E">
        <w:rPr>
          <w:rFonts w:eastAsia="MS Mincho"/>
          <w:b/>
          <w:u w:val="single"/>
          <w:lang w:eastAsia="ja-JP"/>
        </w:rPr>
        <w:t xml:space="preserve">and corresponding </w:t>
      </w:r>
      <w:r w:rsidR="00B70641">
        <w:rPr>
          <w:rFonts w:eastAsia="MS Mincho"/>
          <w:b/>
          <w:u w:val="single"/>
          <w:lang w:eastAsia="ja-JP"/>
        </w:rPr>
        <w:t>hidden</w:t>
      </w:r>
      <w:r w:rsidR="00BB1D4E">
        <w:rPr>
          <w:rFonts w:eastAsia="MS Mincho"/>
          <w:b/>
          <w:u w:val="single"/>
          <w:lang w:eastAsia="ja-JP"/>
        </w:rPr>
        <w:t>/exposed</w:t>
      </w:r>
      <w:r w:rsidR="00B70641">
        <w:rPr>
          <w:rFonts w:eastAsia="MS Mincho"/>
          <w:b/>
          <w:u w:val="single"/>
          <w:lang w:eastAsia="ja-JP"/>
        </w:rPr>
        <w:t xml:space="preserve"> node </w:t>
      </w:r>
      <w:r w:rsidR="009C5999">
        <w:rPr>
          <w:rFonts w:eastAsia="MS Mincho"/>
          <w:b/>
          <w:u w:val="single"/>
          <w:lang w:eastAsia="ja-JP"/>
        </w:rPr>
        <w:t>effects</w:t>
      </w:r>
      <w:r w:rsidR="00B70641">
        <w:rPr>
          <w:rFonts w:eastAsia="MS Mincho"/>
          <w:b/>
          <w:u w:val="single"/>
          <w:lang w:eastAsia="ja-JP"/>
        </w:rPr>
        <w:t>.</w:t>
      </w:r>
    </w:p>
    <w:p w14:paraId="22B2C0DE" w14:textId="77777777" w:rsidR="006B7E77" w:rsidRPr="00122A54" w:rsidRDefault="006B7E77" w:rsidP="006B7E77">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 for Wideband Operation of NR-U</w:t>
      </w:r>
    </w:p>
    <w:p w14:paraId="3E9DC1CA" w14:textId="77777777" w:rsidR="006B7E77" w:rsidRDefault="006B7E77" w:rsidP="006B7E77">
      <w:pPr>
        <w:spacing w:before="120" w:after="120" w:line="288" w:lineRule="auto"/>
        <w:jc w:val="both"/>
        <w:rPr>
          <w:lang w:eastAsia="ko-KR"/>
        </w:rPr>
      </w:pPr>
      <w:r>
        <w:rPr>
          <w:lang w:eastAsia="ko-KR"/>
        </w:rPr>
        <w:t>Compared to LTE-LAA where the channel bandwidth per carrier is 20 MHz, sub-7 GHz 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sub-7 GHz NR-U. </w:t>
      </w:r>
    </w:p>
    <w:p w14:paraId="4520449D" w14:textId="77777777" w:rsidR="006B7E77" w:rsidRDefault="006B7E77" w:rsidP="006B7E77">
      <w:pPr>
        <w:spacing w:before="120" w:after="120" w:line="288" w:lineRule="auto"/>
        <w:jc w:val="both"/>
        <w:rPr>
          <w:lang w:eastAsia="ko-KR"/>
        </w:rPr>
      </w:pPr>
      <w:r w:rsidRPr="001149E5">
        <w:rPr>
          <w:lang w:eastAsia="ko-KR"/>
        </w:rPr>
        <w:t xml:space="preserve">For 5 GHz unlicensed band, the nominal channel bandwidth </w:t>
      </w:r>
      <w:r>
        <w:rPr>
          <w:lang w:eastAsia="ko-KR"/>
        </w:rPr>
        <w:t>of</w:t>
      </w:r>
      <w:r w:rsidRPr="001149E5">
        <w:rPr>
          <w:lang w:eastAsia="ko-KR"/>
        </w:rPr>
        <w:t xml:space="preserve"> a single operating channel is 20 MHz [</w:t>
      </w:r>
      <w:r>
        <w:rPr>
          <w:lang w:eastAsia="ko-KR"/>
        </w:rPr>
        <w:t>3</w:t>
      </w:r>
      <w:r w:rsidRPr="001149E5">
        <w:rPr>
          <w:lang w:eastAsia="ko-KR"/>
        </w:rPr>
        <w:t>]. In order to fairly coexist with Wi-F</w:t>
      </w:r>
      <w:r>
        <w:rPr>
          <w:lang w:eastAsia="ko-KR"/>
        </w:rPr>
        <w:t>i, the bandwidth for a single carrier</w:t>
      </w:r>
      <w:r w:rsidRPr="001149E5">
        <w:rPr>
          <w:lang w:eastAsia="ko-KR"/>
        </w:rPr>
        <w:t xml:space="preserve"> and BWP of sub-7 GHz NR-U ca</w:t>
      </w:r>
      <w:r>
        <w:rPr>
          <w:lang w:eastAsia="ko-KR"/>
        </w:rPr>
        <w:t xml:space="preserve">n be allocated in the </w:t>
      </w:r>
      <w:r w:rsidRPr="001149E5">
        <w:rPr>
          <w:lang w:eastAsia="ko-KR"/>
        </w:rPr>
        <w:t xml:space="preserve">units of 20 MHz, which </w:t>
      </w:r>
      <w:r>
        <w:rPr>
          <w:lang w:eastAsia="ko-KR"/>
        </w:rPr>
        <w:t>can</w:t>
      </w:r>
      <w:r w:rsidRPr="001149E5">
        <w:rPr>
          <w:lang w:eastAsia="ko-KR"/>
        </w:rPr>
        <w:t xml:space="preserve"> also comply with the nominal center frequencies for the nomina</w:t>
      </w:r>
      <w:r>
        <w:rPr>
          <w:lang w:eastAsia="ko-KR"/>
        </w:rPr>
        <w:t>l channel bandwidth of 20 MHz [3</w:t>
      </w:r>
      <w:r w:rsidRPr="001149E5">
        <w:rPr>
          <w:lang w:eastAsia="ko-KR"/>
        </w:rPr>
        <w:t>].</w:t>
      </w:r>
      <w:r>
        <w:rPr>
          <w:lang w:eastAsia="ko-KR"/>
        </w:rPr>
        <w:t xml:space="preserve"> </w:t>
      </w:r>
    </w:p>
    <w:p w14:paraId="01F519E6" w14:textId="07343780" w:rsidR="006B7E77" w:rsidRPr="009C35D8" w:rsidRDefault="006B7E77" w:rsidP="006B7E77">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5</w:t>
      </w:r>
      <w:r w:rsidRPr="006009E6">
        <w:rPr>
          <w:rFonts w:eastAsia="MS Mincho"/>
          <w:b/>
          <w:u w:val="single"/>
          <w:lang w:eastAsia="ja-JP"/>
        </w:rPr>
        <w:t xml:space="preserve">: </w:t>
      </w:r>
      <w:r>
        <w:rPr>
          <w:rFonts w:eastAsia="MS Mincho"/>
          <w:b/>
          <w:u w:val="single"/>
          <w:lang w:eastAsia="ja-JP"/>
        </w:rPr>
        <w:t xml:space="preserve">Sub-7 GHz NR-U can allocate a single carrier and BWP in the units of 20 MHz for fair coexistence with Wi-Fi. </w:t>
      </w:r>
    </w:p>
    <w:p w14:paraId="32EF3E62" w14:textId="77777777" w:rsidR="006B7E77" w:rsidRDefault="006B7E77" w:rsidP="006B7E77">
      <w:pPr>
        <w:spacing w:line="288" w:lineRule="auto"/>
        <w:jc w:val="both"/>
        <w:rPr>
          <w:lang w:eastAsia="ko-KR"/>
        </w:rPr>
      </w:pPr>
      <w:r>
        <w:rPr>
          <w:lang w:eastAsia="ko-KR"/>
        </w:rPr>
        <w:t xml:space="preserve">To transmit over a </w:t>
      </w:r>
      <w:r w:rsidR="00271ADD">
        <w:rPr>
          <w:lang w:eastAsia="ko-KR"/>
        </w:rPr>
        <w:t xml:space="preserve">wideband </w:t>
      </w:r>
      <w:r>
        <w:rPr>
          <w:lang w:eastAsia="ko-KR"/>
        </w:rPr>
        <w:t xml:space="preserve">carrier, the baseline approach is </w:t>
      </w:r>
      <w:r w:rsidR="0008388F">
        <w:rPr>
          <w:lang w:eastAsia="ko-KR"/>
        </w:rPr>
        <w:t xml:space="preserve">for the gNB </w:t>
      </w:r>
      <w:r>
        <w:rPr>
          <w:lang w:eastAsia="ko-KR"/>
        </w:rPr>
        <w:t xml:space="preserve">to perform the LBT over the entire bandwidth of the carrier, which is simple to implement and can fully utilize the entire band if LBT succeeds.  However, the wideband LBT can fail due to interfering transmissions over only certain sub-band(s), such as an LTE-LAA or Wi-Fi transmission with 20 MHz bandwidth, as shown in the example of Figure </w:t>
      </w:r>
      <w:r w:rsidR="001B1B42">
        <w:rPr>
          <w:lang w:eastAsia="ko-KR"/>
        </w:rPr>
        <w:t>2</w:t>
      </w:r>
      <w:r>
        <w:rPr>
          <w:lang w:eastAsia="ko-KR"/>
        </w:rPr>
        <w:t xml:space="preserve"> (a). </w:t>
      </w:r>
    </w:p>
    <w:p w14:paraId="1F39076E" w14:textId="77777777" w:rsidR="00EB5219" w:rsidRDefault="006B7E77" w:rsidP="00EB5219">
      <w:pPr>
        <w:spacing w:line="288" w:lineRule="auto"/>
        <w:jc w:val="both"/>
        <w:rPr>
          <w:rFonts w:eastAsia="Malgun Gothic"/>
        </w:rPr>
      </w:pPr>
      <w:r>
        <w:rPr>
          <w:lang w:eastAsia="ko-KR"/>
        </w:rPr>
        <w:t xml:space="preserve">In another approach, to transmit on a wideband carrier, </w:t>
      </w:r>
      <w:r w:rsidR="00735C68">
        <w:rPr>
          <w:lang w:eastAsia="ko-KR"/>
        </w:rPr>
        <w:t xml:space="preserve">gNB can perform </w:t>
      </w:r>
      <w:r>
        <w:rPr>
          <w:lang w:eastAsia="ko-KR"/>
        </w:rPr>
        <w:t xml:space="preserve">LBT </w:t>
      </w:r>
      <w:r w:rsidR="00735C68">
        <w:rPr>
          <w:lang w:eastAsia="ko-KR"/>
        </w:rPr>
        <w:t>processes</w:t>
      </w:r>
      <w:r>
        <w:rPr>
          <w:lang w:eastAsia="ko-KR"/>
        </w:rPr>
        <w:t xml:space="preserve"> over multiple </w:t>
      </w:r>
      <w:r w:rsidR="007F1299">
        <w:rPr>
          <w:lang w:eastAsia="ko-KR"/>
        </w:rPr>
        <w:t>frequency units in</w:t>
      </w:r>
      <w:r>
        <w:rPr>
          <w:lang w:eastAsia="ko-KR"/>
        </w:rPr>
        <w:t xml:space="preserve"> parallel</w:t>
      </w:r>
      <w:r w:rsidR="009B1B72">
        <w:rPr>
          <w:rFonts w:eastAsia="Malgun Gothic"/>
        </w:rPr>
        <w:t xml:space="preserve">, such that more channel access opportunities can be achieved. </w:t>
      </w:r>
      <w:r w:rsidR="00EB5219">
        <w:rPr>
          <w:lang w:eastAsia="ko-KR"/>
        </w:rPr>
        <w:t xml:space="preserve">The multi-carrier LBT procedures of LTE-LAA can be used as the baseline to perform LBT over multiple frequency units </w:t>
      </w:r>
      <w:r w:rsidR="00434389">
        <w:rPr>
          <w:lang w:eastAsia="ko-KR"/>
        </w:rPr>
        <w:t xml:space="preserve">in parallel </w:t>
      </w:r>
      <w:r w:rsidR="00EB5219">
        <w:rPr>
          <w:lang w:eastAsia="ko-KR"/>
        </w:rPr>
        <w:t>[4], and the frequency unit(s) that succeed in LBT can be utilized by gNB for transmission.</w:t>
      </w:r>
    </w:p>
    <w:p w14:paraId="69DEB890" w14:textId="2DBA7A2C" w:rsidR="009F58D9" w:rsidRPr="003B036E" w:rsidRDefault="009F58D9" w:rsidP="009F58D9">
      <w:pPr>
        <w:spacing w:line="288" w:lineRule="auto"/>
        <w:jc w:val="both"/>
        <w:rPr>
          <w:lang w:val="en-GB" w:eastAsia="ko-KR"/>
        </w:rPr>
      </w:pPr>
      <w:r>
        <w:rPr>
          <w:rFonts w:eastAsia="Malgun Gothic"/>
        </w:rPr>
        <w:t xml:space="preserve">In one example, which is referred to as the BWP-specific LBT, each frequency unit for the parallel LBT process can be a </w:t>
      </w:r>
      <w:r w:rsidR="009C269E">
        <w:rPr>
          <w:rFonts w:eastAsia="Malgun Gothic"/>
        </w:rPr>
        <w:t>bandwidth part (</w:t>
      </w:r>
      <w:r>
        <w:rPr>
          <w:rFonts w:eastAsia="Malgun Gothic"/>
        </w:rPr>
        <w:t>BWP</w:t>
      </w:r>
      <w:r w:rsidR="009C269E">
        <w:rPr>
          <w:rFonts w:eastAsia="Malgun Gothic"/>
        </w:rPr>
        <w:t>)</w:t>
      </w:r>
      <w:r w:rsidR="009C20DD">
        <w:rPr>
          <w:lang w:val="en-GB" w:eastAsia="ko-KR"/>
        </w:rPr>
        <w:t xml:space="preserve">, </w:t>
      </w:r>
      <w:r w:rsidRPr="003B036E">
        <w:rPr>
          <w:lang w:val="en-GB" w:eastAsia="ko-KR"/>
        </w:rPr>
        <w:t xml:space="preserve">and </w:t>
      </w:r>
      <w:r w:rsidR="009C20DD">
        <w:rPr>
          <w:lang w:val="en-GB" w:eastAsia="ko-KR"/>
        </w:rPr>
        <w:t xml:space="preserve">the </w:t>
      </w:r>
      <w:r w:rsidRPr="003B036E">
        <w:rPr>
          <w:lang w:val="en-GB" w:eastAsia="ko-KR"/>
        </w:rPr>
        <w:t xml:space="preserve">HARQ-ACK feedbacks for each BWP can be </w:t>
      </w:r>
      <w:r w:rsidR="009C20DD">
        <w:rPr>
          <w:lang w:val="en-GB" w:eastAsia="ko-KR"/>
        </w:rPr>
        <w:t xml:space="preserve">either </w:t>
      </w:r>
      <w:r w:rsidRPr="003B036E">
        <w:rPr>
          <w:lang w:val="en-GB" w:eastAsia="ko-KR"/>
        </w:rPr>
        <w:t xml:space="preserve">TB-based or CBG-based. </w:t>
      </w:r>
      <w:r w:rsidR="009C20DD">
        <w:rPr>
          <w:lang w:val="en-GB" w:eastAsia="ko-KR"/>
        </w:rPr>
        <w:t>T</w:t>
      </w:r>
      <w:r w:rsidRPr="003B036E">
        <w:rPr>
          <w:lang w:val="en-GB" w:eastAsia="ko-KR"/>
        </w:rPr>
        <w:t xml:space="preserve">he BWP-specific LBT can be applied when </w:t>
      </w:r>
      <w:r>
        <w:rPr>
          <w:lang w:val="en-GB" w:eastAsia="ko-KR"/>
        </w:rPr>
        <w:t>gNB</w:t>
      </w:r>
      <w:r w:rsidRPr="003B036E">
        <w:rPr>
          <w:lang w:val="en-GB" w:eastAsia="ko-KR"/>
        </w:rPr>
        <w:t xml:space="preserve"> attempts </w:t>
      </w:r>
      <w:r>
        <w:rPr>
          <w:lang w:val="en-GB" w:eastAsia="ko-KR"/>
        </w:rPr>
        <w:t xml:space="preserve">to transmit to UEs scheduled on different </w:t>
      </w:r>
      <w:r w:rsidRPr="003B036E">
        <w:rPr>
          <w:lang w:val="en-GB" w:eastAsia="ko-KR"/>
        </w:rPr>
        <w:t>BWP</w:t>
      </w:r>
      <w:r>
        <w:rPr>
          <w:lang w:val="en-GB" w:eastAsia="ko-KR"/>
        </w:rPr>
        <w:t>s</w:t>
      </w:r>
      <w:r w:rsidR="00B5731F">
        <w:rPr>
          <w:lang w:val="en-GB" w:eastAsia="ko-KR"/>
        </w:rPr>
        <w:t>, such that the gNB can serve the UE(s) whose current active DL BWP has passed the LBT. For the UEs whose current active DL BWP has failed the LBT but another configured DL BWP has passed LBT,</w:t>
      </w:r>
      <w:r w:rsidR="00DF0CCC">
        <w:rPr>
          <w:lang w:val="en-GB" w:eastAsia="ko-KR"/>
        </w:rPr>
        <w:t xml:space="preserve"> </w:t>
      </w:r>
      <w:r w:rsidR="00F33D63">
        <w:rPr>
          <w:lang w:val="en-GB" w:eastAsia="ko-KR"/>
        </w:rPr>
        <w:t xml:space="preserve">either the gNB cannot transmit to these UEs on current transmission burst, or </w:t>
      </w:r>
      <w:r w:rsidRPr="003B036E">
        <w:rPr>
          <w:lang w:val="en-GB" w:eastAsia="ko-KR"/>
        </w:rPr>
        <w:t xml:space="preserve">a BWP switching </w:t>
      </w:r>
      <w:r w:rsidR="00A71A59">
        <w:rPr>
          <w:lang w:val="en-GB" w:eastAsia="ko-KR"/>
        </w:rPr>
        <w:t xml:space="preserve">mechanism </w:t>
      </w:r>
      <w:r w:rsidR="00DF0CCC">
        <w:rPr>
          <w:lang w:val="en-GB" w:eastAsia="ko-KR"/>
        </w:rPr>
        <w:t xml:space="preserve">can potentially be supported </w:t>
      </w:r>
      <w:r w:rsidR="00B5731F">
        <w:rPr>
          <w:lang w:val="en-GB" w:eastAsia="ko-KR"/>
        </w:rPr>
        <w:t>for the</w:t>
      </w:r>
      <w:r w:rsidR="00DF0CCC">
        <w:rPr>
          <w:lang w:val="en-GB" w:eastAsia="ko-KR"/>
        </w:rPr>
        <w:t>se</w:t>
      </w:r>
      <w:r w:rsidR="00B5731F">
        <w:rPr>
          <w:lang w:val="en-GB" w:eastAsia="ko-KR"/>
        </w:rPr>
        <w:t xml:space="preserve"> UEs to switch to the DL BWP that has passed LBT.</w:t>
      </w:r>
      <w:r w:rsidR="00DF0CCC" w:rsidDel="00DF0CCC">
        <w:rPr>
          <w:lang w:val="en-GB" w:eastAsia="ko-KR"/>
        </w:rPr>
        <w:t xml:space="preserve"> </w:t>
      </w:r>
      <w:r w:rsidR="00770F25">
        <w:rPr>
          <w:lang w:val="en-GB" w:eastAsia="ko-KR"/>
        </w:rPr>
        <w:t xml:space="preserve">An illustration of the BWP-specific LBT is provided in Figure </w:t>
      </w:r>
      <w:r w:rsidR="001B1B42">
        <w:rPr>
          <w:lang w:val="en-GB" w:eastAsia="ko-KR"/>
        </w:rPr>
        <w:t>2</w:t>
      </w:r>
      <w:r w:rsidR="00770F25">
        <w:rPr>
          <w:lang w:val="en-GB" w:eastAsia="ko-KR"/>
        </w:rPr>
        <w:t xml:space="preserve"> (b)</w:t>
      </w:r>
      <w:r w:rsidR="005C750B">
        <w:rPr>
          <w:lang w:val="en-GB" w:eastAsia="ko-KR"/>
        </w:rPr>
        <w:t xml:space="preserve">, wherein BWP2 fails the BWP-specific LBT due to an interfering Wi-Fi transmission of 20 MHz, while BWP0 and BWP1 can pass the LBT. </w:t>
      </w:r>
    </w:p>
    <w:p w14:paraId="205B4F98" w14:textId="77777777" w:rsidR="00770F25" w:rsidRDefault="00770F25" w:rsidP="00770F25">
      <w:pPr>
        <w:spacing w:line="288" w:lineRule="auto"/>
        <w:jc w:val="both"/>
        <w:rPr>
          <w:lang w:val="en-GB" w:eastAsia="ko-KR"/>
        </w:rPr>
      </w:pPr>
      <w:r w:rsidRPr="003B036E">
        <w:rPr>
          <w:lang w:val="en-GB" w:eastAsia="ko-KR"/>
        </w:rPr>
        <w:t xml:space="preserve">In </w:t>
      </w:r>
      <w:r>
        <w:rPr>
          <w:lang w:val="en-GB" w:eastAsia="ko-KR"/>
        </w:rPr>
        <w:t>another example</w:t>
      </w:r>
      <w:r w:rsidRPr="003B036E">
        <w:rPr>
          <w:lang w:val="en-GB" w:eastAsia="ko-KR"/>
        </w:rPr>
        <w:t xml:space="preserve">, </w:t>
      </w:r>
      <w:r>
        <w:rPr>
          <w:lang w:val="en-GB" w:eastAsia="ko-KR"/>
        </w:rPr>
        <w:t xml:space="preserve">which is </w:t>
      </w:r>
      <w:r w:rsidRPr="003B036E">
        <w:rPr>
          <w:lang w:val="en-GB" w:eastAsia="ko-KR"/>
        </w:rPr>
        <w:t>referred to as sub-band LBT, the</w:t>
      </w:r>
      <w:r w:rsidR="00316C19">
        <w:rPr>
          <w:lang w:val="en-GB" w:eastAsia="ko-KR"/>
        </w:rPr>
        <w:t xml:space="preserve"> parallel</w:t>
      </w:r>
      <w:r w:rsidRPr="003B036E">
        <w:rPr>
          <w:lang w:val="en-GB" w:eastAsia="ko-KR"/>
        </w:rPr>
        <w:t xml:space="preserve"> LBT operations can be performed </w:t>
      </w:r>
      <w:r w:rsidR="00316C19">
        <w:rPr>
          <w:lang w:val="en-GB" w:eastAsia="ko-KR"/>
        </w:rPr>
        <w:t>on the basis of a</w:t>
      </w:r>
      <w:r w:rsidRPr="003B036E">
        <w:rPr>
          <w:lang w:val="en-GB" w:eastAsia="ko-KR"/>
        </w:rPr>
        <w:t xml:space="preserve"> sub-band </w:t>
      </w:r>
      <w:r w:rsidR="00316C19">
        <w:rPr>
          <w:lang w:val="en-GB" w:eastAsia="ko-KR"/>
        </w:rPr>
        <w:t>with fixed bandwidth</w:t>
      </w:r>
      <w:r w:rsidR="008E2847">
        <w:rPr>
          <w:lang w:val="en-GB" w:eastAsia="ko-KR"/>
        </w:rPr>
        <w:t xml:space="preserve">, </w:t>
      </w:r>
      <w:r w:rsidR="00525B2C">
        <w:rPr>
          <w:lang w:val="en-GB" w:eastAsia="ko-KR"/>
        </w:rPr>
        <w:t>which</w:t>
      </w:r>
      <w:r w:rsidRPr="003B036E">
        <w:rPr>
          <w:lang w:val="en-GB" w:eastAsia="ko-KR"/>
        </w:rPr>
        <w:t xml:space="preserve"> can be </w:t>
      </w:r>
      <w:r w:rsidR="008E2847">
        <w:rPr>
          <w:lang w:val="en-GB" w:eastAsia="ko-KR"/>
        </w:rPr>
        <w:t xml:space="preserve">20 MHz </w:t>
      </w:r>
      <w:r w:rsidRPr="003B036E">
        <w:rPr>
          <w:lang w:val="en-GB" w:eastAsia="ko-KR"/>
        </w:rPr>
        <w:t>for sub-7 GHz NR-U.</w:t>
      </w:r>
      <w:r w:rsidR="00E77BBA">
        <w:rPr>
          <w:lang w:val="en-GB" w:eastAsia="ko-KR"/>
        </w:rPr>
        <w:t xml:space="preserve"> </w:t>
      </w:r>
      <w:r w:rsidR="00B82B41">
        <w:rPr>
          <w:lang w:val="en-GB" w:eastAsia="ko-KR"/>
        </w:rPr>
        <w:t xml:space="preserve">Figure </w:t>
      </w:r>
      <w:r w:rsidR="001B1B42">
        <w:rPr>
          <w:lang w:val="en-GB" w:eastAsia="ko-KR"/>
        </w:rPr>
        <w:t>2</w:t>
      </w:r>
      <w:r w:rsidR="00B82B41">
        <w:rPr>
          <w:lang w:val="en-GB" w:eastAsia="ko-KR"/>
        </w:rPr>
        <w:t xml:space="preserve"> (c) provides a</w:t>
      </w:r>
      <w:r w:rsidR="00E77BBA">
        <w:rPr>
          <w:lang w:val="en-GB" w:eastAsia="ko-KR"/>
        </w:rPr>
        <w:t xml:space="preserve">n illustration of </w:t>
      </w:r>
      <w:r w:rsidR="00732E1A">
        <w:rPr>
          <w:lang w:val="en-GB" w:eastAsia="ko-KR"/>
        </w:rPr>
        <w:t xml:space="preserve">the </w:t>
      </w:r>
      <w:r w:rsidR="00E77BBA">
        <w:rPr>
          <w:lang w:val="en-GB" w:eastAsia="ko-KR"/>
        </w:rPr>
        <w:t>sub-band LBT</w:t>
      </w:r>
      <w:r w:rsidR="00B82B41">
        <w:rPr>
          <w:lang w:val="en-GB" w:eastAsia="ko-KR"/>
        </w:rPr>
        <w:t xml:space="preserve">, </w:t>
      </w:r>
      <w:r w:rsidR="00F213CD">
        <w:rPr>
          <w:lang w:val="en-GB" w:eastAsia="ko-KR"/>
        </w:rPr>
        <w:t xml:space="preserve">wherein </w:t>
      </w:r>
      <w:r w:rsidR="00732E1A">
        <w:rPr>
          <w:lang w:val="en-GB" w:eastAsia="ko-KR"/>
        </w:rPr>
        <w:t xml:space="preserve">although sub-band 3 fails LBT, </w:t>
      </w:r>
      <w:r w:rsidR="00F213CD">
        <w:rPr>
          <w:lang w:val="en-GB" w:eastAsia="ko-KR"/>
        </w:rPr>
        <w:t>sub-band 2 pass</w:t>
      </w:r>
      <w:r w:rsidR="005C750B">
        <w:rPr>
          <w:lang w:val="en-GB" w:eastAsia="ko-KR"/>
        </w:rPr>
        <w:t>es</w:t>
      </w:r>
      <w:r w:rsidR="00F213CD">
        <w:rPr>
          <w:lang w:val="en-GB" w:eastAsia="ko-KR"/>
        </w:rPr>
        <w:t xml:space="preserve"> LBT and </w:t>
      </w:r>
      <w:r w:rsidR="000378A7">
        <w:rPr>
          <w:lang w:val="en-GB" w:eastAsia="ko-KR"/>
        </w:rPr>
        <w:t xml:space="preserve">therefore </w:t>
      </w:r>
      <w:r w:rsidR="003B25EA">
        <w:rPr>
          <w:lang w:val="en-GB" w:eastAsia="ko-KR"/>
        </w:rPr>
        <w:t xml:space="preserve">gNB </w:t>
      </w:r>
      <w:r w:rsidR="00F213CD">
        <w:rPr>
          <w:lang w:val="en-GB" w:eastAsia="ko-KR"/>
        </w:rPr>
        <w:t>can</w:t>
      </w:r>
      <w:r w:rsidR="003B25EA">
        <w:rPr>
          <w:lang w:val="en-GB" w:eastAsia="ko-KR"/>
        </w:rPr>
        <w:t xml:space="preserve"> utilize</w:t>
      </w:r>
      <w:r w:rsidR="000378A7">
        <w:rPr>
          <w:lang w:val="en-GB" w:eastAsia="ko-KR"/>
        </w:rPr>
        <w:t xml:space="preserve"> </w:t>
      </w:r>
      <w:r w:rsidR="003B25EA">
        <w:rPr>
          <w:lang w:val="en-GB" w:eastAsia="ko-KR"/>
        </w:rPr>
        <w:t xml:space="preserve">partial bandwidth of BWP2 </w:t>
      </w:r>
      <w:r w:rsidR="00F213CD">
        <w:rPr>
          <w:lang w:val="en-GB" w:eastAsia="ko-KR"/>
        </w:rPr>
        <w:t>for transmission</w:t>
      </w:r>
      <w:r w:rsidR="00732E1A">
        <w:rPr>
          <w:lang w:val="en-GB" w:eastAsia="ko-KR"/>
        </w:rPr>
        <w:t>.</w:t>
      </w:r>
    </w:p>
    <w:p w14:paraId="6A09478B" w14:textId="77777777" w:rsidR="001C06B4" w:rsidRPr="00000980" w:rsidRDefault="001C06B4" w:rsidP="00770F25">
      <w:pPr>
        <w:spacing w:line="288" w:lineRule="auto"/>
        <w:jc w:val="both"/>
        <w:rPr>
          <w:rFonts w:eastAsia="MS Mincho"/>
          <w:b/>
          <w:u w:val="single"/>
          <w:lang w:eastAsia="ja-JP"/>
        </w:rPr>
      </w:pPr>
    </w:p>
    <w:p w14:paraId="010A8AB9" w14:textId="77777777" w:rsidR="00AC161B" w:rsidRDefault="00B82B41" w:rsidP="00AC161B">
      <w:pPr>
        <w:spacing w:line="288" w:lineRule="auto"/>
        <w:jc w:val="center"/>
      </w:pPr>
      <w:r>
        <w:object w:dxaOrig="19861" w:dyaOrig="5857" w14:anchorId="4452CEF5">
          <v:shape id="_x0000_i1028" type="#_x0000_t75" style="width:466.8pt;height:137.6pt" o:ole="">
            <v:imagedata r:id="rId10" o:title=""/>
          </v:shape>
          <o:OLEObject Type="Embed" ProgID="Visio.Drawing.15" ShapeID="_x0000_i1028" DrawAspect="Content" ObjectID="_1599646927" r:id="rId11"/>
        </w:object>
      </w:r>
    </w:p>
    <w:p w14:paraId="0C788BEA" w14:textId="77777777" w:rsidR="00AC161B" w:rsidRDefault="00AC161B" w:rsidP="00C118DD">
      <w:pPr>
        <w:spacing w:line="288" w:lineRule="auto"/>
        <w:jc w:val="center"/>
      </w:pPr>
      <w:r>
        <w:t xml:space="preserve">Figure </w:t>
      </w:r>
      <w:r w:rsidR="001B1B42">
        <w:t>2</w:t>
      </w:r>
      <w:r>
        <w:t>. Example of LBT for wideband operations</w:t>
      </w:r>
    </w:p>
    <w:p w14:paraId="079C4609" w14:textId="77777777" w:rsidR="006E2F08" w:rsidRDefault="006E2F08" w:rsidP="006E2F08">
      <w:pPr>
        <w:spacing w:line="288" w:lineRule="auto"/>
      </w:pPr>
    </w:p>
    <w:p w14:paraId="113784D4" w14:textId="65EDB7C2" w:rsidR="006E2F08" w:rsidRPr="006E2F08" w:rsidRDefault="006E2F08" w:rsidP="006E2F08">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6</w:t>
      </w:r>
      <w:r w:rsidRPr="006009E6">
        <w:rPr>
          <w:rFonts w:eastAsia="MS Mincho"/>
          <w:b/>
          <w:u w:val="single"/>
          <w:lang w:eastAsia="ja-JP"/>
        </w:rPr>
        <w:t xml:space="preserve">: </w:t>
      </w:r>
      <w:r>
        <w:rPr>
          <w:rFonts w:eastAsia="MS Mincho"/>
          <w:b/>
          <w:u w:val="single"/>
          <w:lang w:eastAsia="ja-JP"/>
        </w:rPr>
        <w:t>BWP-specific LBT/sub-band LBT can be supported for NR-U LBT over a wideband carrier, with multi-carrier LBT of LTE-LAA as the baseline procedure.</w:t>
      </w:r>
    </w:p>
    <w:p w14:paraId="19EF61AB" w14:textId="0F36D35E" w:rsidR="009F58D9" w:rsidRDefault="004E2F52" w:rsidP="006B7E77">
      <w:pPr>
        <w:spacing w:line="288" w:lineRule="auto"/>
        <w:jc w:val="both"/>
        <w:rPr>
          <w:lang w:eastAsia="ko-KR"/>
        </w:rPr>
      </w:pPr>
      <w:r>
        <w:rPr>
          <w:rFonts w:eastAsia="Malgun Gothic"/>
          <w:lang w:val="en-GB"/>
        </w:rPr>
        <w:t xml:space="preserve">Despite better spectrum </w:t>
      </w:r>
      <w:r w:rsidR="004D37F9">
        <w:rPr>
          <w:rFonts w:eastAsia="Malgun Gothic"/>
          <w:lang w:val="en-GB"/>
        </w:rPr>
        <w:t xml:space="preserve">utilization can be achieved with sub-band LBT, it also needs several potential enhancements as opposed to BWP-specific LBT. For example, </w:t>
      </w:r>
      <w:r w:rsidR="004D37F9">
        <w:rPr>
          <w:lang w:eastAsia="ko-KR"/>
        </w:rPr>
        <w:t xml:space="preserve">to achieve efficient DCI transmission under the sub-band LBT, gNB can </w:t>
      </w:r>
      <w:r w:rsidR="004D37F9" w:rsidRPr="00793AC8">
        <w:rPr>
          <w:lang w:eastAsia="ko-KR"/>
        </w:rPr>
        <w:t>configur</w:t>
      </w:r>
      <w:r w:rsidR="004D37F9">
        <w:rPr>
          <w:lang w:eastAsia="ko-KR"/>
        </w:rPr>
        <w:t>e</w:t>
      </w:r>
      <w:r w:rsidR="004D37F9" w:rsidRPr="00793AC8">
        <w:rPr>
          <w:lang w:eastAsia="ko-KR"/>
        </w:rPr>
        <w:t xml:space="preserve"> </w:t>
      </w:r>
      <w:r w:rsidR="004D37F9">
        <w:rPr>
          <w:lang w:eastAsia="ko-KR"/>
        </w:rPr>
        <w:t>CORESET</w:t>
      </w:r>
      <w:r w:rsidR="004D37F9" w:rsidRPr="00793AC8">
        <w:rPr>
          <w:lang w:eastAsia="ko-KR"/>
        </w:rPr>
        <w:t xml:space="preserve"> </w:t>
      </w:r>
      <w:r w:rsidR="004D37F9">
        <w:rPr>
          <w:lang w:eastAsia="ko-KR"/>
        </w:rPr>
        <w:t xml:space="preserve">on a per </w:t>
      </w:r>
      <w:r w:rsidR="004D37F9" w:rsidRPr="00793AC8">
        <w:rPr>
          <w:lang w:eastAsia="ko-KR"/>
        </w:rPr>
        <w:t>sub</w:t>
      </w:r>
      <w:r w:rsidR="004D37F9">
        <w:rPr>
          <w:lang w:eastAsia="ko-KR"/>
        </w:rPr>
        <w:t>-</w:t>
      </w:r>
      <w:r w:rsidR="004D37F9" w:rsidRPr="00793AC8">
        <w:rPr>
          <w:lang w:eastAsia="ko-KR"/>
        </w:rPr>
        <w:t xml:space="preserve">band </w:t>
      </w:r>
      <w:r w:rsidR="004D37F9">
        <w:rPr>
          <w:lang w:eastAsia="ko-KR"/>
        </w:rPr>
        <w:t xml:space="preserve">basis, </w:t>
      </w:r>
      <w:r w:rsidR="00D44AA0">
        <w:rPr>
          <w:lang w:eastAsia="ko-KR"/>
        </w:rPr>
        <w:t>such</w:t>
      </w:r>
      <w:r w:rsidR="004D37F9">
        <w:rPr>
          <w:lang w:eastAsia="ko-KR"/>
        </w:rPr>
        <w:t xml:space="preserve"> that </w:t>
      </w:r>
      <w:r w:rsidR="004D37F9" w:rsidRPr="00793AC8">
        <w:rPr>
          <w:lang w:eastAsia="ko-KR"/>
        </w:rPr>
        <w:t xml:space="preserve">gNB can transmit DCI on </w:t>
      </w:r>
      <w:r w:rsidR="004D37F9">
        <w:rPr>
          <w:lang w:eastAsia="ko-KR"/>
        </w:rPr>
        <w:t xml:space="preserve">the </w:t>
      </w:r>
      <w:r w:rsidR="004D37F9" w:rsidRPr="00793AC8">
        <w:rPr>
          <w:lang w:eastAsia="ko-KR"/>
        </w:rPr>
        <w:t>sub-band</w:t>
      </w:r>
      <w:r w:rsidR="004D37F9">
        <w:rPr>
          <w:lang w:eastAsia="ko-KR"/>
        </w:rPr>
        <w:t>(</w:t>
      </w:r>
      <w:r w:rsidR="004D37F9" w:rsidRPr="00793AC8">
        <w:rPr>
          <w:lang w:eastAsia="ko-KR"/>
        </w:rPr>
        <w:t>s</w:t>
      </w:r>
      <w:r w:rsidR="004D37F9">
        <w:rPr>
          <w:lang w:eastAsia="ko-KR"/>
        </w:rPr>
        <w:t xml:space="preserve">) that have passed the LBT. </w:t>
      </w:r>
      <w:r w:rsidR="005904C4">
        <w:rPr>
          <w:lang w:eastAsia="ko-KR"/>
        </w:rPr>
        <w:t>In addition, the CB</w:t>
      </w:r>
      <w:r w:rsidR="005904C4" w:rsidRPr="005904C4">
        <w:rPr>
          <w:lang w:eastAsia="ko-KR"/>
        </w:rPr>
        <w:t xml:space="preserve"> alloca</w:t>
      </w:r>
      <w:r w:rsidR="006A3C10">
        <w:rPr>
          <w:lang w:eastAsia="ko-KR"/>
        </w:rPr>
        <w:t>tion for a TB with sub-band LBT needs to</w:t>
      </w:r>
      <w:r w:rsidR="005904C4" w:rsidRPr="005904C4">
        <w:rPr>
          <w:lang w:eastAsia="ko-KR"/>
        </w:rPr>
        <w:t xml:space="preserve"> be enhanced</w:t>
      </w:r>
      <w:r w:rsidR="00BF066C">
        <w:rPr>
          <w:lang w:eastAsia="ko-KR"/>
        </w:rPr>
        <w:t xml:space="preserve"> from Rel-15 NR. For example, </w:t>
      </w:r>
      <w:r w:rsidR="00196D13">
        <w:rPr>
          <w:lang w:eastAsia="ko-KR"/>
        </w:rPr>
        <w:t xml:space="preserve">when the </w:t>
      </w:r>
      <w:r w:rsidR="00196D13">
        <w:rPr>
          <w:rFonts w:eastAsia="Malgun Gothic"/>
        </w:rPr>
        <w:t>scheduled bandwidth of the UE</w:t>
      </w:r>
      <w:r w:rsidR="00196D13">
        <w:rPr>
          <w:lang w:eastAsia="ko-KR"/>
        </w:rPr>
        <w:t xml:space="preserve"> is larger than LBT sub-band, </w:t>
      </w:r>
      <w:r w:rsidR="00202A4A">
        <w:rPr>
          <w:lang w:eastAsia="ko-KR"/>
        </w:rPr>
        <w:t xml:space="preserve">the </w:t>
      </w:r>
      <w:r w:rsidR="00BF066C">
        <w:rPr>
          <w:lang w:eastAsia="ko-KR"/>
        </w:rPr>
        <w:t>CBs</w:t>
      </w:r>
      <w:r w:rsidR="005904C4" w:rsidRPr="005904C4">
        <w:rPr>
          <w:lang w:eastAsia="ko-KR"/>
        </w:rPr>
        <w:t xml:space="preserve"> can be allocated with a granularity of the LBT sub-band in the frequency domain, </w:t>
      </w:r>
      <w:r w:rsidR="00D87AD6">
        <w:rPr>
          <w:lang w:eastAsia="ko-KR"/>
        </w:rPr>
        <w:t>such that</w:t>
      </w:r>
      <w:r w:rsidR="005904C4" w:rsidRPr="005904C4">
        <w:rPr>
          <w:lang w:eastAsia="ko-KR"/>
        </w:rPr>
        <w:t xml:space="preserve"> the frequency position of a CB can be aligned with sub-band boundary.</w:t>
      </w:r>
      <w:r w:rsidR="00A82B47">
        <w:rPr>
          <w:lang w:eastAsia="ko-KR"/>
        </w:rPr>
        <w:t xml:space="preserve"> </w:t>
      </w:r>
    </w:p>
    <w:p w14:paraId="0F829223" w14:textId="77777777" w:rsidR="006B7E77" w:rsidRDefault="000B233B" w:rsidP="00DE7FC2">
      <w:pPr>
        <w:spacing w:line="288" w:lineRule="auto"/>
        <w:jc w:val="both"/>
        <w:rPr>
          <w:rFonts w:eastAsia="Malgun Gothic"/>
        </w:rPr>
      </w:pPr>
      <w:r>
        <w:rPr>
          <w:lang w:eastAsia="ko-KR"/>
        </w:rPr>
        <w:t>Furthermore</w:t>
      </w:r>
      <w:r w:rsidR="00DE7FC2">
        <w:rPr>
          <w:lang w:eastAsia="ko-KR"/>
        </w:rPr>
        <w:t>, for sub-band LBT, t</w:t>
      </w:r>
      <w:r w:rsidR="00DE7FC2">
        <w:rPr>
          <w:rFonts w:eastAsia="Malgun Gothic"/>
        </w:rPr>
        <w:t xml:space="preserve">he CBG-based HARQ-ACK feedback can be </w:t>
      </w:r>
      <w:r w:rsidR="006E77CE">
        <w:rPr>
          <w:rFonts w:eastAsia="Malgun Gothic"/>
        </w:rPr>
        <w:t>prioritized</w:t>
      </w:r>
      <w:r w:rsidR="006C09E9">
        <w:rPr>
          <w:rFonts w:eastAsia="Malgun Gothic"/>
        </w:rPr>
        <w:t xml:space="preserve"> over TB-based HARQ-ACK feedback, </w:t>
      </w:r>
      <w:r w:rsidR="00DE7FC2">
        <w:rPr>
          <w:rFonts w:eastAsia="Malgun Gothic"/>
        </w:rPr>
        <w:t xml:space="preserve">when the LBT sub-band bandwidth is less than the scheduled bandwidth of the UE. This is </w:t>
      </w:r>
      <w:r w:rsidR="00100BE4">
        <w:rPr>
          <w:rFonts w:eastAsia="Malgun Gothic"/>
        </w:rPr>
        <w:t>because</w:t>
      </w:r>
      <w:r w:rsidR="00363B67">
        <w:rPr>
          <w:rFonts w:eastAsia="Malgun Gothic"/>
        </w:rPr>
        <w:t xml:space="preserve"> when one or more sub-band</w:t>
      </w:r>
      <w:r w:rsidR="00191FA1">
        <w:rPr>
          <w:rFonts w:eastAsia="Malgun Gothic"/>
        </w:rPr>
        <w:t>s</w:t>
      </w:r>
      <w:r w:rsidR="00363B67">
        <w:rPr>
          <w:rFonts w:eastAsia="Malgun Gothic"/>
        </w:rPr>
        <w:t xml:space="preserve"> within the scheduled bandwidth of the UE fails LBT,</w:t>
      </w:r>
      <w:r w:rsidR="00100BE4">
        <w:rPr>
          <w:rFonts w:eastAsia="Malgun Gothic"/>
        </w:rPr>
        <w:t xml:space="preserve"> </w:t>
      </w:r>
      <w:r w:rsidR="00DE7FC2">
        <w:rPr>
          <w:rFonts w:eastAsia="Malgun Gothic"/>
        </w:rPr>
        <w:t xml:space="preserve">the </w:t>
      </w:r>
      <w:r w:rsidR="00880D2E">
        <w:rPr>
          <w:rFonts w:eastAsia="Malgun Gothic"/>
        </w:rPr>
        <w:t>CBs on the failed sub-band</w:t>
      </w:r>
      <w:r w:rsidR="00191FA1">
        <w:rPr>
          <w:rFonts w:eastAsia="Malgun Gothic"/>
        </w:rPr>
        <w:t>(s)</w:t>
      </w:r>
      <w:r w:rsidR="00DE7FC2">
        <w:rPr>
          <w:rFonts w:eastAsia="Malgun Gothic"/>
        </w:rPr>
        <w:t xml:space="preserve"> </w:t>
      </w:r>
      <w:r w:rsidR="00817D02">
        <w:rPr>
          <w:rFonts w:eastAsia="Malgun Gothic"/>
        </w:rPr>
        <w:t>are</w:t>
      </w:r>
      <w:r w:rsidR="00B748D5">
        <w:rPr>
          <w:rFonts w:eastAsia="Malgun Gothic"/>
        </w:rPr>
        <w:t xml:space="preserve"> punctured</w:t>
      </w:r>
      <w:r w:rsidR="00191FA1">
        <w:rPr>
          <w:rFonts w:eastAsia="Malgun Gothic"/>
        </w:rPr>
        <w:t xml:space="preserve">. </w:t>
      </w:r>
      <w:r w:rsidR="000635EE">
        <w:rPr>
          <w:rFonts w:eastAsia="Malgun Gothic"/>
        </w:rPr>
        <w:t>With TB-based HARQ-ACK, t</w:t>
      </w:r>
      <w:r w:rsidR="00191FA1">
        <w:rPr>
          <w:rFonts w:eastAsia="Malgun Gothic"/>
        </w:rPr>
        <w:t>his</w:t>
      </w:r>
      <w:r w:rsidR="000635EE">
        <w:rPr>
          <w:rFonts w:eastAsia="Malgun Gothic"/>
        </w:rPr>
        <w:t xml:space="preserve"> will </w:t>
      </w:r>
      <w:r w:rsidR="00CD1A9B">
        <w:rPr>
          <w:rFonts w:eastAsia="Malgun Gothic"/>
        </w:rPr>
        <w:t>cause</w:t>
      </w:r>
      <w:r w:rsidR="00880D2E">
        <w:rPr>
          <w:rFonts w:eastAsia="Malgun Gothic"/>
        </w:rPr>
        <w:t xml:space="preserve"> the TB </w:t>
      </w:r>
      <w:r w:rsidR="00CD1A9B">
        <w:rPr>
          <w:rFonts w:eastAsia="Malgun Gothic"/>
        </w:rPr>
        <w:t>to</w:t>
      </w:r>
      <w:r w:rsidR="00880D2E">
        <w:rPr>
          <w:rFonts w:eastAsia="Malgun Gothic"/>
        </w:rPr>
        <w:t xml:space="preserve"> be</w:t>
      </w:r>
      <w:r w:rsidR="00363B67">
        <w:rPr>
          <w:rFonts w:eastAsia="Malgun Gothic"/>
        </w:rPr>
        <w:t xml:space="preserve"> </w:t>
      </w:r>
      <w:r w:rsidR="00DE7FC2">
        <w:rPr>
          <w:rFonts w:eastAsia="Malgun Gothic"/>
        </w:rPr>
        <w:t>NACK’ed</w:t>
      </w:r>
      <w:r w:rsidR="00CD1A9B">
        <w:rPr>
          <w:rFonts w:eastAsia="Malgun Gothic"/>
        </w:rPr>
        <w:t xml:space="preserve"> and retransmitted</w:t>
      </w:r>
      <w:r w:rsidR="00363B67">
        <w:rPr>
          <w:rFonts w:eastAsia="Malgun Gothic"/>
        </w:rPr>
        <w:t>,</w:t>
      </w:r>
      <w:r w:rsidR="00DE7FC2">
        <w:rPr>
          <w:rFonts w:eastAsia="Malgun Gothic"/>
        </w:rPr>
        <w:t xml:space="preserve"> which offsets the benefits of sub-band LBT.</w:t>
      </w:r>
      <w:r w:rsidR="00E17B21">
        <w:rPr>
          <w:rFonts w:eastAsia="Malgun Gothic"/>
        </w:rPr>
        <w:t xml:space="preserve"> </w:t>
      </w:r>
    </w:p>
    <w:p w14:paraId="1F2CFC9B" w14:textId="6BAF7C25" w:rsidR="004F3AF2" w:rsidRDefault="006E2F08" w:rsidP="00DE7FC2">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7</w:t>
      </w:r>
      <w:r w:rsidRPr="006009E6">
        <w:rPr>
          <w:rFonts w:eastAsia="MS Mincho"/>
          <w:b/>
          <w:u w:val="single"/>
          <w:lang w:eastAsia="ja-JP"/>
        </w:rPr>
        <w:t xml:space="preserve">: </w:t>
      </w:r>
      <w:r w:rsidR="00C81EAC">
        <w:rPr>
          <w:rFonts w:eastAsia="MS Mincho"/>
          <w:b/>
          <w:u w:val="single"/>
          <w:lang w:eastAsia="ja-JP"/>
        </w:rPr>
        <w:t>CORESET configuration and CB allocation can be enhanced to support sub-band LBT for NR-U</w:t>
      </w:r>
      <w:r w:rsidR="00BF5BB4">
        <w:rPr>
          <w:rFonts w:eastAsia="MS Mincho"/>
          <w:b/>
          <w:u w:val="single"/>
          <w:lang w:eastAsia="ja-JP"/>
        </w:rPr>
        <w:t>.</w:t>
      </w:r>
    </w:p>
    <w:p w14:paraId="1BE384C4" w14:textId="77777777" w:rsidR="004F3AF2" w:rsidRPr="00122A54" w:rsidRDefault="004F3AF2" w:rsidP="004F3AF2">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No-LBT Option for NR-U Channel Access</w:t>
      </w:r>
    </w:p>
    <w:p w14:paraId="026902C0" w14:textId="77777777" w:rsidR="004F3AF2" w:rsidRDefault="004F3AF2" w:rsidP="004F3AF2">
      <w:pPr>
        <w:spacing w:line="288" w:lineRule="auto"/>
        <w:jc w:val="both"/>
        <w:rPr>
          <w:rFonts w:eastAsia="MS Mincho"/>
          <w:lang w:eastAsia="ja-JP"/>
        </w:rPr>
      </w:pPr>
      <w:r>
        <w:rPr>
          <w:rFonts w:eastAsia="MS Mincho"/>
          <w:lang w:eastAsia="ja-JP"/>
        </w:rPr>
        <w:t>A no-LBT option is observed to be beneficial for NR-U in 5 GHz and/or 6 GHz [1], which can be supported subject to regulation restrictions. Specifically, the no-LBT option can be used at the DL/UL switching point(s) within the shared channel occupancy time (COT) obtained by gNB, if the gap between the start of U</w:t>
      </w:r>
      <w:r w:rsidRPr="00602EC2">
        <w:rPr>
          <w:rFonts w:eastAsia="MS Mincho"/>
          <w:lang w:eastAsia="ja-JP"/>
        </w:rPr>
        <w:t>L (</w:t>
      </w:r>
      <w:r>
        <w:rPr>
          <w:rFonts w:eastAsia="MS Mincho"/>
          <w:lang w:eastAsia="ja-JP"/>
        </w:rPr>
        <w:t>D</w:t>
      </w:r>
      <w:r w:rsidRPr="00602EC2">
        <w:rPr>
          <w:rFonts w:eastAsia="MS Mincho"/>
          <w:lang w:eastAsia="ja-JP"/>
        </w:rPr>
        <w:t xml:space="preserve">L) transmission and the end of previous </w:t>
      </w:r>
      <w:r>
        <w:rPr>
          <w:rFonts w:eastAsia="MS Mincho"/>
          <w:lang w:eastAsia="ja-JP"/>
        </w:rPr>
        <w:t>D</w:t>
      </w:r>
      <w:r w:rsidRPr="00602EC2">
        <w:rPr>
          <w:rFonts w:eastAsia="MS Mincho"/>
          <w:lang w:eastAsia="ja-JP"/>
        </w:rPr>
        <w:t>L (</w:t>
      </w:r>
      <w:r>
        <w:rPr>
          <w:rFonts w:eastAsia="MS Mincho"/>
          <w:lang w:eastAsia="ja-JP"/>
        </w:rPr>
        <w:t>U</w:t>
      </w:r>
      <w:r w:rsidRPr="00602EC2">
        <w:rPr>
          <w:rFonts w:eastAsia="MS Mincho"/>
          <w:lang w:eastAsia="ja-JP"/>
        </w:rPr>
        <w:t xml:space="preserve">L) transmission is </w:t>
      </w:r>
      <w:r>
        <w:rPr>
          <w:rFonts w:eastAsia="MS Mincho"/>
          <w:lang w:eastAsia="ja-JP"/>
        </w:rPr>
        <w:t xml:space="preserve">within 16 μs; otherwise a single-shot LBT of 25 µs is needed. This restriction for the no-LBT option can be applied to 5 GHz band, and potentially 6 GHz band as well. More details on the LBT considerations for DL/UL switching within the COT are provided in our companion contribution [2]. </w:t>
      </w:r>
    </w:p>
    <w:p w14:paraId="119B29AD" w14:textId="463A7C25" w:rsidR="004F3AF2" w:rsidRPr="006E2F08" w:rsidRDefault="004F3AF2" w:rsidP="00DE7FC2">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8</w:t>
      </w:r>
      <w:r w:rsidRPr="006009E6">
        <w:rPr>
          <w:rFonts w:eastAsia="MS Mincho"/>
          <w:b/>
          <w:u w:val="single"/>
          <w:lang w:eastAsia="ja-JP"/>
        </w:rPr>
        <w:t xml:space="preserve">: </w:t>
      </w:r>
      <w:r>
        <w:rPr>
          <w:rFonts w:eastAsia="MS Mincho"/>
          <w:b/>
          <w:u w:val="single"/>
          <w:lang w:eastAsia="ja-JP"/>
        </w:rPr>
        <w:t>No-LBT option can be used at DL/UL switching point within the shared COT of gNB, if the gap duration is within 16</w:t>
      </w:r>
      <w:r w:rsidRPr="00791D17">
        <w:rPr>
          <w:rFonts w:eastAsia="MS Mincho"/>
          <w:b/>
          <w:u w:val="single"/>
          <w:lang w:eastAsia="ja-JP"/>
        </w:rPr>
        <w:t>μs</w:t>
      </w:r>
      <w:r>
        <w:rPr>
          <w:rFonts w:eastAsia="MS Mincho"/>
          <w:b/>
          <w:u w:val="single"/>
          <w:lang w:eastAsia="ja-JP"/>
        </w:rPr>
        <w:t>.</w:t>
      </w:r>
    </w:p>
    <w:p w14:paraId="089A8A3D" w14:textId="77777777" w:rsidR="00951763" w:rsidRPr="00122A54" w:rsidRDefault="006A02A8" w:rsidP="00595CF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2BB5F15C" w14:textId="77777777" w:rsidR="00A75C7D" w:rsidRDefault="00A75C7D" w:rsidP="00595CF0">
      <w:pPr>
        <w:spacing w:line="288" w:lineRule="auto"/>
        <w:jc w:val="both"/>
      </w:pPr>
      <w:r>
        <w:t xml:space="preserve">In general, a potential transmission in the unlicensed band can be granted channel access if the following two conditions </w:t>
      </w:r>
      <w:r w:rsidR="00C850D7">
        <w:t xml:space="preserve">are </w:t>
      </w:r>
      <w:r>
        <w:t xml:space="preserve">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w:t>
      </w:r>
      <w:r>
        <w:lastRenderedPageBreak/>
        <w:t>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7DF9122C" w14:textId="77777777" w:rsidR="00227F2A" w:rsidRDefault="00A75C7D" w:rsidP="00A625F1">
      <w:pPr>
        <w:spacing w:line="288" w:lineRule="auto"/>
        <w:jc w:val="both"/>
      </w:pPr>
      <w:r>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Pr="00DF60BA">
        <w:t xml:space="preserve">Specifically, </w:t>
      </w:r>
      <w:r w:rsidR="00665D15">
        <w:t xml:space="preserve">the handshake messages can include: </w:t>
      </w:r>
      <w:r w:rsidR="009E48FF">
        <w:t>a</w:t>
      </w:r>
      <w:r w:rsidR="00665D15">
        <w:t xml:space="preserve"> channel access request (CARQ)</w:t>
      </w:r>
      <w:r w:rsidR="009E48FF">
        <w:t xml:space="preserve"> message</w:t>
      </w:r>
      <w:r w:rsidR="00665D15">
        <w:t xml:space="preserve">, which can be transmitted by the potential transmitter upon successful LBT for data transmission; and </w:t>
      </w:r>
      <w:r w:rsidR="009E48FF">
        <w:t>a</w:t>
      </w:r>
      <w:r w:rsidR="00665D15">
        <w:t xml:space="preserve"> channel access response (CARP)</w:t>
      </w:r>
      <w:r w:rsidR="009E48FF">
        <w:t xml:space="preserve"> message</w:t>
      </w:r>
      <w:r w:rsidR="00665D15">
        <w:t xml:space="preserve">, which can be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AA63DA">
        <w:t xml:space="preserve">Figure </w:t>
      </w:r>
      <w:r w:rsidR="00E840AA">
        <w:t>3</w:t>
      </w:r>
      <w:r w:rsidR="00AA63DA">
        <w:t xml:space="preserve"> 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573B2FEF" w14:textId="77777777" w:rsidR="00FB0741" w:rsidRDefault="00C073ED" w:rsidP="00595CF0">
      <w:pPr>
        <w:spacing w:line="288" w:lineRule="auto"/>
        <w:jc w:val="center"/>
      </w:pPr>
      <w:r>
        <w:object w:dxaOrig="6432" w:dyaOrig="4380" w14:anchorId="37DA747B">
          <v:shape id="_x0000_i1029" type="#_x0000_t75" style="width:219.2pt;height:149.6pt" o:ole="">
            <v:imagedata r:id="rId12" o:title=""/>
          </v:shape>
          <o:OLEObject Type="Embed" ProgID="Visio.Drawing.15" ShapeID="_x0000_i1029" DrawAspect="Content" ObjectID="_1599646928" r:id="rId13"/>
        </w:object>
      </w:r>
    </w:p>
    <w:p w14:paraId="14AAD57E" w14:textId="77777777" w:rsidR="00227F2A" w:rsidRDefault="00227F2A" w:rsidP="00595CF0">
      <w:pPr>
        <w:spacing w:line="288" w:lineRule="auto"/>
        <w:jc w:val="center"/>
      </w:pPr>
      <w:r>
        <w:t xml:space="preserve">Figure </w:t>
      </w:r>
      <w:r w:rsidR="00E840AA">
        <w:t>3</w:t>
      </w:r>
      <w:r>
        <w:t>. Example of LBT with CARQ/CARP exchange for NR-U downlink transmission</w:t>
      </w:r>
    </w:p>
    <w:p w14:paraId="78CD0B4D" w14:textId="77777777" w:rsidR="00665D15" w:rsidRDefault="0009448E" w:rsidP="00595CF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E840AA">
        <w:t>4</w:t>
      </w:r>
      <w:r w:rsidR="009F218E">
        <w:t xml:space="preserve"> 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 from Section 2</w:t>
      </w:r>
      <w:r w:rsidR="00F35766">
        <w:t>.</w:t>
      </w:r>
    </w:p>
    <w:p w14:paraId="6D378294" w14:textId="77777777" w:rsidR="007C1E73" w:rsidRDefault="004F32BE" w:rsidP="00595CF0">
      <w:pPr>
        <w:spacing w:line="288" w:lineRule="auto"/>
        <w:jc w:val="center"/>
      </w:pPr>
      <w:r>
        <w:object w:dxaOrig="2544" w:dyaOrig="2904" w14:anchorId="52B3669A">
          <v:shape id="_x0000_i1030" type="#_x0000_t75" style="width:124pt;height:141.6pt" o:ole="">
            <v:imagedata r:id="rId14" o:title=""/>
          </v:shape>
          <o:OLEObject Type="Embed" ProgID="Visio.Drawing.15" ShapeID="_x0000_i1030" DrawAspect="Content" ObjectID="_1599646929" r:id="rId15"/>
        </w:object>
      </w:r>
    </w:p>
    <w:p w14:paraId="0599607B" w14:textId="77777777" w:rsidR="00FF6885" w:rsidRDefault="007C1E73" w:rsidP="00595CF0">
      <w:pPr>
        <w:spacing w:line="288" w:lineRule="auto"/>
        <w:jc w:val="center"/>
      </w:pPr>
      <w:r>
        <w:t xml:space="preserve">Figure </w:t>
      </w:r>
      <w:r w:rsidR="00E840AA">
        <w:t>4</w:t>
      </w:r>
      <w:r>
        <w:t>. Example of addressing hidden node issue with handshake mechanism</w:t>
      </w:r>
    </w:p>
    <w:p w14:paraId="6816F3C5" w14:textId="4CB97613" w:rsidR="00A75C7D" w:rsidRPr="00350BD2" w:rsidRDefault="00A75C7D" w:rsidP="00595CF0">
      <w:pPr>
        <w:spacing w:line="288" w:lineRule="auto"/>
        <w:jc w:val="both"/>
        <w:rPr>
          <w:rFonts w:eastAsia="MS Mincho"/>
          <w:lang w:eastAsia="ja-JP"/>
        </w:rPr>
      </w:pPr>
      <w:r>
        <w:rPr>
          <w:rFonts w:eastAsia="MS Mincho"/>
          <w:b/>
          <w:u w:val="single"/>
          <w:lang w:eastAsia="ja-JP"/>
        </w:rPr>
        <w:t xml:space="preserve">Proposal </w:t>
      </w:r>
      <w:r w:rsidR="002C5830">
        <w:rPr>
          <w:b/>
          <w:u w:val="single"/>
        </w:rPr>
        <w:t>9</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as a fair and efficient channel access scheme,</w:t>
      </w:r>
      <w:r w:rsidR="0056077C">
        <w:rPr>
          <w:rFonts w:eastAsia="MS Mincho"/>
          <w:b/>
          <w:u w:val="single"/>
          <w:lang w:eastAsia="ja-JP"/>
        </w:rPr>
        <w:t xml:space="preserve"> and further investigate the details for handshake exchange procedure and handshake message design</w:t>
      </w:r>
      <w:r>
        <w:rPr>
          <w:rFonts w:eastAsia="MS Mincho"/>
          <w:b/>
          <w:u w:val="single"/>
          <w:lang w:eastAsia="ja-JP"/>
        </w:rPr>
        <w:t>.</w:t>
      </w:r>
    </w:p>
    <w:p w14:paraId="5392C965" w14:textId="77777777" w:rsidR="00CB576C" w:rsidRPr="00890B88" w:rsidRDefault="00CB576C" w:rsidP="00595CF0">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lastRenderedPageBreak/>
        <w:t>LBT for SS/PBCH Blocks</w:t>
      </w:r>
    </w:p>
    <w:p w14:paraId="4145190F" w14:textId="77777777" w:rsidR="006730C5" w:rsidRDefault="006730C5" w:rsidP="00595CF0">
      <w:pPr>
        <w:spacing w:line="288" w:lineRule="auto"/>
        <w:rPr>
          <w:rFonts w:eastAsia="MS Mincho"/>
          <w:lang w:eastAsia="ja-JP"/>
        </w:rPr>
      </w:pPr>
      <w:r>
        <w:rPr>
          <w:rFonts w:eastAsia="MS Mincho"/>
          <w:lang w:eastAsia="ja-JP"/>
        </w:rPr>
        <w:t xml:space="preserve">In NR Rel-15, each </w:t>
      </w:r>
      <w:r w:rsidR="007649EF" w:rsidRPr="00C929B0">
        <w:rPr>
          <w:rFonts w:eastAsia="MS Mincho"/>
          <w:lang w:eastAsia="ja-JP"/>
        </w:rPr>
        <w:t>SS</w:t>
      </w:r>
      <w:r w:rsidR="007649EF">
        <w:rPr>
          <w:rFonts w:eastAsia="MS Mincho"/>
          <w:lang w:eastAsia="ja-JP"/>
        </w:rPr>
        <w:t>/PBCH</w:t>
      </w:r>
      <w:r w:rsidR="007649EF" w:rsidRPr="00C929B0">
        <w:rPr>
          <w:rFonts w:eastAsia="MS Mincho"/>
          <w:lang w:eastAsia="ja-JP"/>
        </w:rPr>
        <w:t xml:space="preserve"> block </w:t>
      </w:r>
      <w:r w:rsidR="00106549">
        <w:rPr>
          <w:rFonts w:eastAsia="MS Mincho"/>
          <w:lang w:eastAsia="ja-JP"/>
        </w:rPr>
        <w:t xml:space="preserve">(SSB) </w:t>
      </w:r>
      <w:r w:rsidR="004038DE">
        <w:rPr>
          <w:rFonts w:eastAsia="MS Mincho"/>
          <w:lang w:eastAsia="ja-JP"/>
        </w:rPr>
        <w:t>occup</w:t>
      </w:r>
      <w:r>
        <w:rPr>
          <w:rFonts w:eastAsia="MS Mincho"/>
          <w:lang w:eastAsia="ja-JP"/>
        </w:rPr>
        <w:t>ies</w:t>
      </w:r>
      <w:r w:rsidR="007649EF">
        <w:rPr>
          <w:rFonts w:eastAsia="MS Mincho"/>
          <w:lang w:eastAsia="ja-JP"/>
        </w:rPr>
        <w:t xml:space="preserve"> 4 OFDM symbols in </w:t>
      </w:r>
      <w:r w:rsidR="004038DE">
        <w:rPr>
          <w:rFonts w:eastAsia="MS Mincho"/>
          <w:lang w:eastAsia="ja-JP"/>
        </w:rPr>
        <w:t xml:space="preserve">the </w:t>
      </w:r>
      <w:r w:rsidR="007649EF">
        <w:rPr>
          <w:rFonts w:eastAsia="MS Mincho"/>
          <w:lang w:eastAsia="ja-JP"/>
        </w:rPr>
        <w:t>time domain and 20 PRBs in the frequency domain</w:t>
      </w:r>
      <w:r w:rsidR="004038DE">
        <w:rPr>
          <w:rFonts w:eastAsia="MS Mincho"/>
          <w:lang w:eastAsia="ja-JP"/>
        </w:rPr>
        <w:t xml:space="preserve">, and the </w:t>
      </w:r>
      <w:r w:rsidR="004038DE" w:rsidRPr="00C929B0">
        <w:rPr>
          <w:rFonts w:eastAsia="MS Mincho"/>
          <w:lang w:eastAsia="ja-JP"/>
        </w:rPr>
        <w:t xml:space="preserve">possible </w:t>
      </w:r>
      <w:r w:rsidR="00106549">
        <w:rPr>
          <w:rFonts w:eastAsia="MS Mincho"/>
          <w:lang w:eastAsia="ja-JP"/>
        </w:rPr>
        <w:t>SSB</w:t>
      </w:r>
      <w:r w:rsidR="004038DE" w:rsidRPr="00C929B0">
        <w:rPr>
          <w:rFonts w:eastAsia="MS Mincho"/>
          <w:lang w:eastAsia="ja-JP"/>
        </w:rPr>
        <w:t xml:space="preserve"> </w:t>
      </w:r>
      <w:r w:rsidR="001C20CF">
        <w:rPr>
          <w:rFonts w:eastAsia="MS Mincho"/>
          <w:lang w:eastAsia="ja-JP"/>
        </w:rPr>
        <w:t>mapping patterns</w:t>
      </w:r>
      <w:r w:rsidR="004038DE" w:rsidRPr="00C929B0">
        <w:rPr>
          <w:rFonts w:eastAsia="MS Mincho"/>
          <w:lang w:eastAsia="ja-JP"/>
        </w:rPr>
        <w:t xml:space="preserve"> for different subcarrier spacing</w:t>
      </w:r>
      <w:r w:rsidR="004038DE">
        <w:rPr>
          <w:rFonts w:eastAsia="MS Mincho"/>
          <w:lang w:eastAsia="ja-JP"/>
        </w:rPr>
        <w:t xml:space="preserve">s are illustrated in Figure </w:t>
      </w:r>
      <w:r w:rsidR="00302CD2">
        <w:rPr>
          <w:rFonts w:eastAsia="MS Mincho"/>
          <w:lang w:eastAsia="ja-JP"/>
        </w:rPr>
        <w:t>5</w:t>
      </w:r>
      <w:r w:rsidR="004038DE">
        <w:rPr>
          <w:rFonts w:eastAsia="MS Mincho"/>
          <w:lang w:eastAsia="ja-JP"/>
        </w:rPr>
        <w:t xml:space="preserve">. </w:t>
      </w:r>
    </w:p>
    <w:p w14:paraId="12DF2779" w14:textId="77777777" w:rsidR="006730C5" w:rsidRDefault="006730C5" w:rsidP="00595CF0">
      <w:pPr>
        <w:spacing w:line="288" w:lineRule="auto"/>
        <w:jc w:val="center"/>
      </w:pPr>
      <w:r>
        <w:object w:dxaOrig="18265" w:dyaOrig="6181" w14:anchorId="47740C91">
          <v:shape id="_x0000_i1031" type="#_x0000_t75" style="width:381.6pt;height:130pt" o:ole="">
            <v:imagedata r:id="rId16" o:title=""/>
          </v:shape>
          <o:OLEObject Type="Embed" ProgID="Visio.Drawing.15" ShapeID="_x0000_i1031" DrawAspect="Content" ObjectID="_1599646930" r:id="rId17"/>
        </w:object>
      </w:r>
    </w:p>
    <w:p w14:paraId="15FA0A54" w14:textId="77777777" w:rsidR="006730C5" w:rsidRPr="00595CF0" w:rsidRDefault="006730C5" w:rsidP="00595CF0">
      <w:pPr>
        <w:spacing w:line="288" w:lineRule="auto"/>
        <w:jc w:val="center"/>
        <w:rPr>
          <w:lang w:eastAsia="ko-KR"/>
        </w:rPr>
      </w:pPr>
      <w:r>
        <w:t xml:space="preserve">Figure </w:t>
      </w:r>
      <w:r w:rsidR="00302CD2">
        <w:t>5</w:t>
      </w:r>
      <w:r>
        <w:t>. SS/PBCH block mapping patterns of NR</w:t>
      </w:r>
    </w:p>
    <w:p w14:paraId="346AE2ED" w14:textId="77777777" w:rsidR="00AC63F0" w:rsidRDefault="00D47EB3" w:rsidP="00595CF0">
      <w:pPr>
        <w:spacing w:line="288" w:lineRule="auto"/>
        <w:rPr>
          <w:rFonts w:eastAsia="MS Mincho"/>
          <w:lang w:eastAsia="ja-JP"/>
        </w:rPr>
      </w:pPr>
      <w:r>
        <w:rPr>
          <w:rFonts w:eastAsia="MS Mincho"/>
          <w:lang w:eastAsia="ja-JP"/>
        </w:rPr>
        <w:t xml:space="preserve">For </w:t>
      </w:r>
      <w:r w:rsidR="00FA0715">
        <w:rPr>
          <w:rFonts w:eastAsia="MS Mincho"/>
          <w:lang w:eastAsia="ja-JP"/>
        </w:rPr>
        <w:t xml:space="preserve">sub-7 GHz </w:t>
      </w:r>
      <w:r>
        <w:rPr>
          <w:rFonts w:eastAsia="MS Mincho"/>
          <w:lang w:eastAsia="ja-JP"/>
        </w:rPr>
        <w:t xml:space="preserve">NR-U, </w:t>
      </w:r>
      <w:r w:rsidR="006730C5">
        <w:rPr>
          <w:rFonts w:eastAsia="MS Mincho"/>
          <w:lang w:eastAsia="ja-JP"/>
        </w:rPr>
        <w:t xml:space="preserve">in order increase the channel access opportunity for </w:t>
      </w:r>
      <w:r w:rsidR="00015C79">
        <w:rPr>
          <w:rFonts w:eastAsia="MS Mincho"/>
          <w:lang w:eastAsia="ja-JP"/>
        </w:rPr>
        <w:t xml:space="preserve">each </w:t>
      </w:r>
      <w:r w:rsidR="006730C5">
        <w:rPr>
          <w:rFonts w:eastAsia="MS Mincho"/>
          <w:lang w:eastAsia="ja-JP"/>
        </w:rPr>
        <w:t>SSB</w:t>
      </w:r>
      <w:r w:rsidR="005038F5">
        <w:rPr>
          <w:rFonts w:eastAsia="MS Mincho"/>
          <w:lang w:eastAsia="ja-JP"/>
        </w:rPr>
        <w:t xml:space="preserve">, </w:t>
      </w:r>
      <w:r w:rsidR="002D6E75">
        <w:rPr>
          <w:rFonts w:eastAsia="MS Mincho"/>
          <w:lang w:eastAsia="ja-JP"/>
        </w:rPr>
        <w:t>either</w:t>
      </w:r>
      <w:r w:rsidR="006730C5">
        <w:rPr>
          <w:rFonts w:eastAsia="MS Mincho"/>
          <w:lang w:eastAsia="ja-JP"/>
        </w:rPr>
        <w:t xml:space="preserve"> a single-shot </w:t>
      </w:r>
      <w:r>
        <w:rPr>
          <w:rFonts w:eastAsia="MS Mincho"/>
          <w:lang w:eastAsia="ja-JP"/>
        </w:rPr>
        <w:t xml:space="preserve">LBT </w:t>
      </w:r>
      <w:r w:rsidR="00EC5619">
        <w:rPr>
          <w:rFonts w:eastAsia="MS Mincho"/>
          <w:lang w:eastAsia="ja-JP"/>
        </w:rPr>
        <w:t>of 25</w:t>
      </w:r>
      <w:r w:rsidR="00EC5619" w:rsidRPr="00EC5619">
        <w:rPr>
          <w:rFonts w:eastAsia="MS Mincho"/>
          <w:lang w:eastAsia="ja-JP"/>
        </w:rPr>
        <w:t xml:space="preserve"> </w:t>
      </w:r>
      <w:r w:rsidR="00EC5619">
        <w:rPr>
          <w:rFonts w:eastAsia="MS Mincho"/>
          <w:lang w:eastAsia="ja-JP"/>
        </w:rPr>
        <w:t xml:space="preserve">µs, </w:t>
      </w:r>
      <w:r w:rsidR="002D6E75">
        <w:rPr>
          <w:rFonts w:eastAsia="MS Mincho"/>
          <w:lang w:eastAsia="ja-JP"/>
        </w:rPr>
        <w:t>or CAT-4 LBT with high LBT priority</w:t>
      </w:r>
      <w:r w:rsidR="007F6A45">
        <w:rPr>
          <w:rFonts w:eastAsia="MS Mincho"/>
          <w:lang w:eastAsia="ja-JP"/>
        </w:rPr>
        <w:t xml:space="preserve"> class</w:t>
      </w:r>
      <w:r w:rsidR="002D6E75">
        <w:rPr>
          <w:rFonts w:eastAsia="MS Mincho"/>
          <w:lang w:eastAsia="ja-JP"/>
        </w:rPr>
        <w:t xml:space="preserve"> </w:t>
      </w:r>
      <w:r w:rsidR="00F63F81">
        <w:rPr>
          <w:rFonts w:eastAsia="MS Mincho"/>
          <w:lang w:eastAsia="ja-JP"/>
        </w:rPr>
        <w:t>shall</w:t>
      </w:r>
      <w:r>
        <w:rPr>
          <w:rFonts w:eastAsia="MS Mincho"/>
          <w:lang w:eastAsia="ja-JP"/>
        </w:rPr>
        <w:t xml:space="preserve"> </w:t>
      </w:r>
      <w:r w:rsidRPr="00D47EB3">
        <w:rPr>
          <w:rFonts w:eastAsia="MS Mincho"/>
          <w:lang w:eastAsia="ja-JP"/>
        </w:rPr>
        <w:t xml:space="preserve">be </w:t>
      </w:r>
      <w:r w:rsidR="006730C5">
        <w:rPr>
          <w:rFonts w:eastAsia="MS Mincho"/>
          <w:lang w:eastAsia="ja-JP"/>
        </w:rPr>
        <w:t>performed</w:t>
      </w:r>
      <w:r w:rsidRPr="00D47EB3">
        <w:rPr>
          <w:rFonts w:eastAsia="MS Mincho"/>
          <w:lang w:eastAsia="ja-JP"/>
        </w:rPr>
        <w:t xml:space="preserve"> before the transmission of </w:t>
      </w:r>
      <w:r w:rsidR="00F63F81">
        <w:rPr>
          <w:rFonts w:eastAsia="MS Mincho"/>
          <w:lang w:eastAsia="ja-JP"/>
        </w:rPr>
        <w:t xml:space="preserve">each </w:t>
      </w:r>
      <w:r>
        <w:rPr>
          <w:rFonts w:eastAsia="MS Mincho"/>
          <w:lang w:eastAsia="ja-JP"/>
        </w:rPr>
        <w:t>SSB</w:t>
      </w:r>
      <w:r w:rsidR="00F63F81">
        <w:rPr>
          <w:rFonts w:eastAsia="MS Mincho"/>
          <w:lang w:eastAsia="ja-JP"/>
        </w:rPr>
        <w:t xml:space="preserve"> (e.g, for c</w:t>
      </w:r>
      <w:r w:rsidR="00D234EE">
        <w:rPr>
          <w:rFonts w:eastAsia="MS Mincho"/>
          <w:lang w:eastAsia="ja-JP"/>
        </w:rPr>
        <w:t>ase A/</w:t>
      </w:r>
      <w:r w:rsidR="00F63F81">
        <w:rPr>
          <w:rFonts w:eastAsia="MS Mincho"/>
          <w:lang w:eastAsia="ja-JP"/>
        </w:rPr>
        <w:t>C), or before the transmission of consecutive SSBs (e.g.,</w:t>
      </w:r>
      <w:r w:rsidR="00D234EE">
        <w:rPr>
          <w:rFonts w:eastAsia="MS Mincho"/>
          <w:lang w:eastAsia="ja-JP"/>
        </w:rPr>
        <w:t xml:space="preserve"> for case B</w:t>
      </w:r>
      <w:r w:rsidR="00F63F81">
        <w:rPr>
          <w:rFonts w:eastAsia="MS Mincho"/>
          <w:lang w:eastAsia="ja-JP"/>
        </w:rPr>
        <w:t>)</w:t>
      </w:r>
      <w:r>
        <w:rPr>
          <w:rFonts w:eastAsia="MS Mincho"/>
          <w:lang w:eastAsia="ja-JP"/>
        </w:rPr>
        <w:t xml:space="preserve">. </w:t>
      </w:r>
      <w:r w:rsidR="007F6A45">
        <w:rPr>
          <w:rFonts w:eastAsia="MS Mincho"/>
          <w:lang w:eastAsia="ja-JP"/>
        </w:rPr>
        <w:t>For example</w:t>
      </w:r>
      <w:r w:rsidR="00041C76">
        <w:rPr>
          <w:rFonts w:eastAsia="MS Mincho"/>
          <w:lang w:eastAsia="ja-JP"/>
        </w:rPr>
        <w:t xml:space="preserve">, the </w:t>
      </w:r>
      <w:r w:rsidR="006730C5">
        <w:rPr>
          <w:rFonts w:eastAsia="MS Mincho"/>
          <w:lang w:eastAsia="ja-JP"/>
        </w:rPr>
        <w:t xml:space="preserve">single-shot LBT </w:t>
      </w:r>
      <w:r w:rsidR="007F6A45">
        <w:rPr>
          <w:rFonts w:eastAsia="MS Mincho"/>
          <w:lang w:eastAsia="ja-JP"/>
        </w:rPr>
        <w:t xml:space="preserve">will </w:t>
      </w:r>
      <w:r w:rsidR="006730C5">
        <w:rPr>
          <w:rFonts w:eastAsia="MS Mincho"/>
          <w:lang w:eastAsia="ja-JP"/>
        </w:rPr>
        <w:t>occup</w:t>
      </w:r>
      <w:r w:rsidR="007F6A45">
        <w:rPr>
          <w:rFonts w:eastAsia="MS Mincho"/>
          <w:lang w:eastAsia="ja-JP"/>
        </w:rPr>
        <w:t>y</w:t>
      </w:r>
      <w:r w:rsidR="006730C5">
        <w:rPr>
          <w:rFonts w:eastAsia="MS Mincho"/>
          <w:lang w:eastAsia="ja-JP"/>
        </w:rPr>
        <w:t xml:space="preserve"> 1 OFDM symbol </w:t>
      </w:r>
      <w:r w:rsidR="00204A57">
        <w:rPr>
          <w:rFonts w:eastAsia="MS Mincho"/>
          <w:lang w:eastAsia="ja-JP"/>
        </w:rPr>
        <w:t xml:space="preserve">with 15 kHz and </w:t>
      </w:r>
      <w:r w:rsidR="006730C5">
        <w:rPr>
          <w:rFonts w:eastAsia="MS Mincho"/>
          <w:lang w:eastAsia="ja-JP"/>
        </w:rPr>
        <w:t>30 kHz SCS</w:t>
      </w:r>
      <w:r w:rsidR="00204A57">
        <w:rPr>
          <w:rFonts w:eastAsia="MS Mincho"/>
          <w:lang w:eastAsia="ja-JP"/>
        </w:rPr>
        <w:t xml:space="preserve"> for SSB.</w:t>
      </w:r>
      <w:r w:rsidR="00AC63F0">
        <w:rPr>
          <w:rFonts w:eastAsia="MS Mincho"/>
          <w:lang w:eastAsia="ja-JP"/>
        </w:rPr>
        <w:t xml:space="preserve"> In addition, the following enhancements to the channel access procedure for NR-U SSB transmissions</w:t>
      </w:r>
      <w:r w:rsidR="00041C76">
        <w:rPr>
          <w:rFonts w:eastAsia="MS Mincho"/>
          <w:lang w:eastAsia="ja-JP"/>
        </w:rPr>
        <w:t xml:space="preserve"> shall be </w:t>
      </w:r>
      <w:r w:rsidR="00DC014E">
        <w:rPr>
          <w:rFonts w:eastAsia="MS Mincho"/>
          <w:lang w:eastAsia="ja-JP"/>
        </w:rPr>
        <w:t>studied</w:t>
      </w:r>
      <w:r w:rsidR="00AC63F0">
        <w:rPr>
          <w:rFonts w:eastAsia="MS Mincho"/>
          <w:lang w:eastAsia="ja-JP"/>
        </w:rPr>
        <w:t xml:space="preserve">: </w:t>
      </w:r>
    </w:p>
    <w:p w14:paraId="03907099" w14:textId="77777777" w:rsidR="00AC63F0" w:rsidRPr="001F41FA" w:rsidRDefault="00AC63F0" w:rsidP="00595CF0">
      <w:pPr>
        <w:numPr>
          <w:ilvl w:val="0"/>
          <w:numId w:val="18"/>
        </w:numPr>
        <w:tabs>
          <w:tab w:val="left" w:pos="360"/>
        </w:tabs>
        <w:spacing w:line="288" w:lineRule="auto"/>
        <w:ind w:left="360"/>
        <w:rPr>
          <w:rFonts w:eastAsia="MS Mincho"/>
          <w:lang w:eastAsia="ja-JP"/>
        </w:rPr>
      </w:pPr>
      <w:r>
        <w:rPr>
          <w:rFonts w:eastAsia="MS Mincho"/>
          <w:lang w:eastAsia="ja-JP"/>
        </w:rPr>
        <w:t xml:space="preserve">For </w:t>
      </w:r>
      <w:r w:rsidR="00D234EE">
        <w:rPr>
          <w:rFonts w:eastAsia="MS Mincho"/>
          <w:lang w:eastAsia="ja-JP"/>
        </w:rPr>
        <w:t xml:space="preserve">consecutive SSBs </w:t>
      </w:r>
      <w:r w:rsidR="00AA05B8">
        <w:rPr>
          <w:rFonts w:eastAsia="MS Mincho"/>
          <w:lang w:eastAsia="ja-JP"/>
        </w:rPr>
        <w:t xml:space="preserve">that </w:t>
      </w:r>
      <w:r>
        <w:rPr>
          <w:rFonts w:eastAsia="MS Mincho"/>
          <w:lang w:eastAsia="ja-JP"/>
        </w:rPr>
        <w:t xml:space="preserve">intend to </w:t>
      </w:r>
      <w:r w:rsidR="00D234EE">
        <w:rPr>
          <w:rFonts w:eastAsia="MS Mincho"/>
          <w:lang w:eastAsia="ja-JP"/>
        </w:rPr>
        <w:t>transmit</w:t>
      </w:r>
      <w:r>
        <w:rPr>
          <w:rFonts w:eastAsia="MS Mincho"/>
          <w:lang w:eastAsia="ja-JP"/>
        </w:rPr>
        <w:t xml:space="preserve"> with different beam directions</w:t>
      </w:r>
      <w:r w:rsidR="001F41FA">
        <w:rPr>
          <w:rFonts w:eastAsia="MS Mincho"/>
          <w:lang w:eastAsia="ja-JP"/>
        </w:rPr>
        <w:t xml:space="preserve"> (e.g., case B</w:t>
      </w:r>
      <w:r w:rsidR="00D234EE">
        <w:rPr>
          <w:rFonts w:eastAsia="MS Mincho"/>
          <w:lang w:eastAsia="ja-JP"/>
        </w:rPr>
        <w:t>)</w:t>
      </w:r>
      <w:r w:rsidR="003451DA">
        <w:rPr>
          <w:rFonts w:eastAsia="MS Mincho"/>
          <w:lang w:eastAsia="ja-JP"/>
        </w:rPr>
        <w:t xml:space="preserve">, </w:t>
      </w:r>
      <w:r>
        <w:rPr>
          <w:rFonts w:eastAsia="MS Mincho"/>
          <w:lang w:eastAsia="ja-JP"/>
        </w:rPr>
        <w:t xml:space="preserve">new SSB mapping patterns can be </w:t>
      </w:r>
      <w:r w:rsidR="00DC014E">
        <w:rPr>
          <w:rFonts w:eastAsia="MS Mincho"/>
          <w:lang w:eastAsia="ja-JP"/>
        </w:rPr>
        <w:t>studied</w:t>
      </w:r>
      <w:r>
        <w:rPr>
          <w:rFonts w:eastAsia="MS Mincho"/>
          <w:lang w:eastAsia="ja-JP"/>
        </w:rPr>
        <w:t xml:space="preserve"> </w:t>
      </w:r>
      <w:r w:rsidR="00961E41">
        <w:rPr>
          <w:rFonts w:eastAsia="MS Mincho"/>
          <w:lang w:eastAsia="ja-JP"/>
        </w:rPr>
        <w:t xml:space="preserve">to incorporate the LBT resource overhead, or new channel access schemes can be </w:t>
      </w:r>
      <w:r w:rsidR="00DC014E">
        <w:rPr>
          <w:rFonts w:eastAsia="MS Mincho"/>
          <w:lang w:eastAsia="ja-JP"/>
        </w:rPr>
        <w:t>studied</w:t>
      </w:r>
      <w:r w:rsidR="00961E41">
        <w:rPr>
          <w:rFonts w:eastAsia="MS Mincho"/>
          <w:lang w:eastAsia="ja-JP"/>
        </w:rPr>
        <w:t xml:space="preserve"> such that SSBs can be transmitted consecutively using different beam directions. </w:t>
      </w:r>
      <w:r w:rsidR="00EC5619">
        <w:rPr>
          <w:rFonts w:eastAsia="MS Mincho"/>
          <w:lang w:eastAsia="ja-JP"/>
        </w:rPr>
        <w:t xml:space="preserve">For example, </w:t>
      </w:r>
      <w:r w:rsidR="00FA0715" w:rsidRPr="00FA0715">
        <w:rPr>
          <w:rFonts w:eastAsia="MS Mincho"/>
          <w:iCs/>
          <w:lang w:eastAsia="ja-JP"/>
        </w:rPr>
        <w:t>the LBT can be</w:t>
      </w:r>
      <w:r w:rsidR="00FA0715">
        <w:rPr>
          <w:rFonts w:eastAsia="MS Mincho"/>
          <w:iCs/>
          <w:lang w:eastAsia="ja-JP"/>
        </w:rPr>
        <w:t xml:space="preserve"> performed</w:t>
      </w:r>
      <w:r w:rsidR="00FA0715" w:rsidRPr="00FA0715">
        <w:rPr>
          <w:rFonts w:eastAsia="MS Mincho"/>
          <w:iCs/>
          <w:lang w:eastAsia="ja-JP"/>
        </w:rPr>
        <w:t xml:space="preserve"> omni-directional</w:t>
      </w:r>
      <w:r w:rsidR="00FA0715">
        <w:rPr>
          <w:rFonts w:eastAsia="MS Mincho"/>
          <w:iCs/>
          <w:lang w:eastAsia="ja-JP"/>
        </w:rPr>
        <w:t>ly</w:t>
      </w:r>
      <w:r w:rsidR="00FA0715" w:rsidRPr="00FA0715">
        <w:rPr>
          <w:rFonts w:eastAsia="MS Mincho"/>
          <w:iCs/>
          <w:lang w:eastAsia="ja-JP"/>
        </w:rPr>
        <w:t xml:space="preserve"> or </w:t>
      </w:r>
      <w:r w:rsidR="00FA0715">
        <w:rPr>
          <w:rFonts w:eastAsia="MS Mincho"/>
          <w:iCs/>
          <w:lang w:eastAsia="ja-JP"/>
        </w:rPr>
        <w:t xml:space="preserve">over a wide beam direction </w:t>
      </w:r>
      <w:r w:rsidR="00FA0715" w:rsidRPr="00FA0715">
        <w:rPr>
          <w:rFonts w:eastAsia="MS Mincho"/>
          <w:iCs/>
          <w:lang w:eastAsia="ja-JP"/>
        </w:rPr>
        <w:t>that covers</w:t>
      </w:r>
      <w:r w:rsidR="00FA0715">
        <w:rPr>
          <w:rFonts w:eastAsia="MS Mincho"/>
          <w:iCs/>
          <w:lang w:eastAsia="ja-JP"/>
        </w:rPr>
        <w:t xml:space="preserve"> all</w:t>
      </w:r>
      <w:r w:rsidR="00FA0715" w:rsidRPr="00FA0715">
        <w:rPr>
          <w:rFonts w:eastAsia="MS Mincho"/>
          <w:iCs/>
          <w:lang w:eastAsia="ja-JP"/>
        </w:rPr>
        <w:t xml:space="preserve"> </w:t>
      </w:r>
      <w:r w:rsidR="00FA0715">
        <w:rPr>
          <w:rFonts w:eastAsia="MS Mincho"/>
          <w:iCs/>
          <w:lang w:eastAsia="ja-JP"/>
        </w:rPr>
        <w:t>the</w:t>
      </w:r>
      <w:r w:rsidR="00FA0715" w:rsidRPr="00FA0715">
        <w:rPr>
          <w:rFonts w:eastAsia="MS Mincho"/>
          <w:iCs/>
          <w:lang w:eastAsia="ja-JP"/>
        </w:rPr>
        <w:t xml:space="preserve"> </w:t>
      </w:r>
      <w:r w:rsidR="00FA0715">
        <w:rPr>
          <w:rFonts w:eastAsia="MS Mincho"/>
          <w:iCs/>
          <w:lang w:eastAsia="ja-JP"/>
        </w:rPr>
        <w:t>intended beam directions for the consecutive</w:t>
      </w:r>
      <w:r w:rsidR="009414AC">
        <w:rPr>
          <w:rFonts w:eastAsia="MS Mincho"/>
          <w:iCs/>
          <w:lang w:eastAsia="ja-JP"/>
        </w:rPr>
        <w:t xml:space="preserve"> SS/PBCH blocks, </w:t>
      </w:r>
      <w:r w:rsidR="00953BF7">
        <w:rPr>
          <w:rFonts w:eastAsia="MS Mincho"/>
          <w:iCs/>
          <w:lang w:eastAsia="ja-JP"/>
        </w:rPr>
        <w:t xml:space="preserve">and the SS/PBCH blocks can be transmitted consecutively with different beam directions if the LBT is successful. </w:t>
      </w:r>
      <w:r w:rsidR="009414AC">
        <w:rPr>
          <w:rFonts w:eastAsia="MS Mincho"/>
          <w:iCs/>
          <w:lang w:eastAsia="ja-JP"/>
        </w:rPr>
        <w:t xml:space="preserve">Figure </w:t>
      </w:r>
      <w:r w:rsidR="00302CD2">
        <w:rPr>
          <w:rFonts w:eastAsia="MS Mincho"/>
          <w:iCs/>
          <w:lang w:eastAsia="ja-JP"/>
        </w:rPr>
        <w:t>6</w:t>
      </w:r>
      <w:r w:rsidR="00953BF7">
        <w:rPr>
          <w:rFonts w:eastAsia="MS Mincho"/>
          <w:iCs/>
          <w:lang w:eastAsia="ja-JP"/>
        </w:rPr>
        <w:t xml:space="preserve"> provides an illustration of this example.</w:t>
      </w:r>
      <w:r w:rsidR="00015C79">
        <w:rPr>
          <w:rFonts w:eastAsia="MS Mincho"/>
          <w:iCs/>
          <w:lang w:eastAsia="ja-JP"/>
        </w:rPr>
        <w:t xml:space="preserve"> </w:t>
      </w:r>
      <w:r w:rsidR="00015C79">
        <w:rPr>
          <w:rFonts w:eastAsia="MS Mincho"/>
          <w:lang w:eastAsia="ja-JP"/>
        </w:rPr>
        <w:t>This example can also be applied to the d</w:t>
      </w:r>
      <w:r w:rsidR="00015C79" w:rsidRPr="005038F5">
        <w:rPr>
          <w:rFonts w:eastAsia="MS Mincho"/>
          <w:lang w:eastAsia="ja-JP"/>
        </w:rPr>
        <w:t xml:space="preserve">iscovery </w:t>
      </w:r>
      <w:r w:rsidR="00015C79">
        <w:rPr>
          <w:rFonts w:eastAsia="MS Mincho"/>
          <w:lang w:eastAsia="ja-JP"/>
        </w:rPr>
        <w:t>s</w:t>
      </w:r>
      <w:r w:rsidR="00015C79" w:rsidRPr="005038F5">
        <w:rPr>
          <w:rFonts w:eastAsia="MS Mincho"/>
          <w:lang w:eastAsia="ja-JP"/>
        </w:rPr>
        <w:t xml:space="preserve">ignal and </w:t>
      </w:r>
      <w:r w:rsidR="00015C79">
        <w:rPr>
          <w:rFonts w:eastAsia="MS Mincho"/>
          <w:lang w:eastAsia="ja-JP"/>
        </w:rPr>
        <w:t>c</w:t>
      </w:r>
      <w:r w:rsidR="00015C79" w:rsidRPr="005038F5">
        <w:rPr>
          <w:rFonts w:eastAsia="MS Mincho"/>
          <w:lang w:eastAsia="ja-JP"/>
        </w:rPr>
        <w:t>hannel (DSCH)</w:t>
      </w:r>
      <w:r w:rsidR="00015C79">
        <w:rPr>
          <w:rFonts w:eastAsia="MS Mincho"/>
          <w:lang w:eastAsia="ja-JP"/>
        </w:rPr>
        <w:t xml:space="preserve"> as proposed in our companion contribution [</w:t>
      </w:r>
      <w:r w:rsidR="0086766B">
        <w:rPr>
          <w:rFonts w:eastAsia="MS Mincho"/>
          <w:lang w:eastAsia="ja-JP"/>
        </w:rPr>
        <w:t>5</w:t>
      </w:r>
      <w:r w:rsidR="00015C79">
        <w:rPr>
          <w:rFonts w:eastAsia="MS Mincho"/>
          <w:lang w:eastAsia="ja-JP"/>
        </w:rPr>
        <w:t xml:space="preserve">], which contains </w:t>
      </w:r>
      <w:r w:rsidR="00015C79" w:rsidRPr="00FA11BA">
        <w:rPr>
          <w:lang w:eastAsia="ja-JP"/>
        </w:rPr>
        <w:t>at least</w:t>
      </w:r>
      <w:r w:rsidR="00015C79">
        <w:rPr>
          <w:lang w:eastAsia="ja-JP"/>
        </w:rPr>
        <w:t xml:space="preserve"> the</w:t>
      </w:r>
      <w:r w:rsidR="00015C79" w:rsidRPr="00FA11BA">
        <w:rPr>
          <w:lang w:eastAsia="ja-JP"/>
        </w:rPr>
        <w:t xml:space="preserve"> SS/P</w:t>
      </w:r>
      <w:r w:rsidR="00015C79">
        <w:rPr>
          <w:lang w:eastAsia="ja-JP"/>
        </w:rPr>
        <w:t>BCH burst set for both measurement and initial access purpose</w:t>
      </w:r>
      <w:r w:rsidR="00015C79">
        <w:rPr>
          <w:rFonts w:eastAsia="MS Mincho"/>
          <w:lang w:eastAsia="ja-JP"/>
        </w:rPr>
        <w:t xml:space="preserve">. </w:t>
      </w:r>
    </w:p>
    <w:p w14:paraId="573C5088" w14:textId="77777777" w:rsidR="001F41FA" w:rsidRDefault="001F41FA" w:rsidP="001F41FA">
      <w:pPr>
        <w:tabs>
          <w:tab w:val="left" w:pos="360"/>
        </w:tabs>
        <w:spacing w:line="288" w:lineRule="auto"/>
        <w:ind w:left="360"/>
        <w:jc w:val="center"/>
      </w:pPr>
      <w:r>
        <w:object w:dxaOrig="5268" w:dyaOrig="2436" w14:anchorId="4A1302B9">
          <v:shape id="_x0000_i1032" type="#_x0000_t75" style="width:263.25pt;height:121.5pt" o:ole="">
            <v:imagedata r:id="rId18" o:title=""/>
          </v:shape>
          <o:OLEObject Type="Embed" ProgID="Visio.Drawing.15" ShapeID="_x0000_i1032" DrawAspect="Content" ObjectID="_1599646931" r:id="rId19"/>
        </w:object>
      </w:r>
    </w:p>
    <w:p w14:paraId="3FEA5F07" w14:textId="77777777" w:rsidR="001F41FA" w:rsidRDefault="001F41FA" w:rsidP="001F41FA">
      <w:pPr>
        <w:tabs>
          <w:tab w:val="left" w:pos="360"/>
        </w:tabs>
        <w:spacing w:line="288" w:lineRule="auto"/>
        <w:ind w:left="360"/>
        <w:jc w:val="center"/>
        <w:rPr>
          <w:rFonts w:eastAsia="MS Mincho"/>
          <w:lang w:eastAsia="ja-JP"/>
        </w:rPr>
      </w:pPr>
      <w:r>
        <w:t xml:space="preserve">Figure </w:t>
      </w:r>
      <w:r w:rsidR="00302CD2">
        <w:t>6</w:t>
      </w:r>
      <w:r>
        <w:t xml:space="preserve">. Example of </w:t>
      </w:r>
      <w:r w:rsidR="00F33BC7">
        <w:t xml:space="preserve">LBT for transmitting </w:t>
      </w:r>
      <w:r w:rsidR="00C249AE">
        <w:t xml:space="preserve">2 </w:t>
      </w:r>
      <w:r w:rsidR="00F33BC7">
        <w:t>consecutive SSBs</w:t>
      </w:r>
    </w:p>
    <w:p w14:paraId="1D4C5F6B" w14:textId="77777777" w:rsidR="00AC63F0" w:rsidRDefault="00EC5619" w:rsidP="00595CF0">
      <w:pPr>
        <w:numPr>
          <w:ilvl w:val="0"/>
          <w:numId w:val="18"/>
        </w:numPr>
        <w:tabs>
          <w:tab w:val="left" w:pos="360"/>
        </w:tabs>
        <w:spacing w:line="288" w:lineRule="auto"/>
        <w:ind w:left="360"/>
        <w:rPr>
          <w:rFonts w:eastAsia="MS Mincho"/>
          <w:lang w:eastAsia="ja-JP"/>
        </w:rPr>
      </w:pPr>
      <w:r>
        <w:rPr>
          <w:lang w:eastAsia="ja-JP"/>
        </w:rPr>
        <w:t>A SS/PBCH block transmission timing configuration (STTC) method, which is similar to DMTC for Rel-13 LTE-LAA, can be beneficial for NR-U</w:t>
      </w:r>
      <w:r w:rsidR="00EF6070">
        <w:rPr>
          <w:rFonts w:eastAsia="MS Mincho"/>
          <w:lang w:eastAsia="ja-JP"/>
        </w:rPr>
        <w:t>.</w:t>
      </w:r>
      <w:r>
        <w:rPr>
          <w:rFonts w:eastAsia="MS Mincho"/>
          <w:lang w:eastAsia="ja-JP"/>
        </w:rPr>
        <w:t xml:space="preserve"> The details of STTC are provided in our companion contribution [</w:t>
      </w:r>
      <w:r w:rsidR="0086766B">
        <w:rPr>
          <w:rFonts w:eastAsia="MS Mincho"/>
          <w:lang w:eastAsia="ja-JP"/>
        </w:rPr>
        <w:t>6</w:t>
      </w:r>
      <w:r>
        <w:rPr>
          <w:rFonts w:eastAsia="MS Mincho"/>
          <w:lang w:eastAsia="ja-JP"/>
        </w:rPr>
        <w:t xml:space="preserve">]. </w:t>
      </w:r>
    </w:p>
    <w:p w14:paraId="15F5577A" w14:textId="77777777" w:rsidR="007A065A" w:rsidRPr="007A065A" w:rsidRDefault="007A065A" w:rsidP="007A065A">
      <w:pPr>
        <w:numPr>
          <w:ilvl w:val="0"/>
          <w:numId w:val="18"/>
        </w:numPr>
        <w:tabs>
          <w:tab w:val="left" w:pos="360"/>
        </w:tabs>
        <w:spacing w:line="288" w:lineRule="auto"/>
        <w:ind w:left="360"/>
        <w:rPr>
          <w:rFonts w:eastAsia="MS Mincho"/>
          <w:lang w:eastAsia="ja-JP"/>
        </w:rPr>
      </w:pPr>
      <w:r>
        <w:rPr>
          <w:rFonts w:eastAsia="MS Mincho"/>
          <w:lang w:eastAsia="ja-JP"/>
        </w:rPr>
        <w:t xml:space="preserve">New SSB mapping patterns for NR-U considering the LBT overhead </w:t>
      </w:r>
      <w:r w:rsidR="008E16E6">
        <w:rPr>
          <w:rFonts w:eastAsia="MS Mincho"/>
          <w:lang w:eastAsia="ja-JP"/>
        </w:rPr>
        <w:t>can</w:t>
      </w:r>
      <w:r>
        <w:rPr>
          <w:rFonts w:eastAsia="MS Mincho"/>
          <w:lang w:eastAsia="ja-JP"/>
        </w:rPr>
        <w:t xml:space="preserve"> be designed, if new SCS for SSB is supported (e.g., 60 kHz SCS for sub-7 GHz NR-U), and/or different SSB compositions from NR Rel-15 are introduced for NR-U. </w:t>
      </w:r>
    </w:p>
    <w:p w14:paraId="0029A15D" w14:textId="01F3A08E" w:rsidR="00CC1F21" w:rsidRDefault="00EF6070" w:rsidP="00595CF0">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10</w:t>
      </w:r>
      <w:r w:rsidRPr="006009E6">
        <w:rPr>
          <w:rFonts w:eastAsia="MS Mincho"/>
          <w:b/>
          <w:u w:val="single"/>
          <w:lang w:eastAsia="ja-JP"/>
        </w:rPr>
        <w:t xml:space="preserve">: </w:t>
      </w:r>
      <w:r w:rsidR="00A76907">
        <w:rPr>
          <w:rFonts w:eastAsia="MS Mincho"/>
          <w:b/>
          <w:u w:val="single"/>
          <w:lang w:eastAsia="ja-JP"/>
        </w:rPr>
        <w:t>S</w:t>
      </w:r>
      <w:r w:rsidR="00CC1F21" w:rsidRPr="00CC1F21">
        <w:rPr>
          <w:rFonts w:eastAsia="MS Mincho"/>
          <w:b/>
          <w:u w:val="single"/>
          <w:lang w:eastAsia="ja-JP"/>
        </w:rPr>
        <w:t>ingle-shot LBT or CAT-4 LBT with high LBT priority class</w:t>
      </w:r>
      <w:r w:rsidR="00A76907">
        <w:rPr>
          <w:rFonts w:eastAsia="MS Mincho"/>
          <w:b/>
          <w:u w:val="single"/>
          <w:lang w:eastAsia="ja-JP"/>
        </w:rPr>
        <w:t xml:space="preserve"> can be used to grant transmission of a SS/PBCH block, or consecutive SS/PBCH blocks</w:t>
      </w:r>
      <w:r w:rsidR="00CC1F21">
        <w:rPr>
          <w:rFonts w:eastAsia="MS Mincho"/>
          <w:b/>
          <w:u w:val="single"/>
          <w:lang w:eastAsia="ja-JP"/>
        </w:rPr>
        <w:t>.</w:t>
      </w:r>
      <w:r w:rsidR="00CC1F21" w:rsidRPr="00CC1F21">
        <w:rPr>
          <w:rFonts w:eastAsia="MS Mincho"/>
          <w:b/>
          <w:u w:val="single"/>
          <w:lang w:eastAsia="ja-JP"/>
        </w:rPr>
        <w:t xml:space="preserve"> </w:t>
      </w:r>
    </w:p>
    <w:p w14:paraId="58202F8C" w14:textId="7A631F67" w:rsidR="00AA5639" w:rsidRDefault="00CC1F21" w:rsidP="00595CF0">
      <w:pPr>
        <w:spacing w:line="288" w:lineRule="auto"/>
        <w:jc w:val="both"/>
        <w:rPr>
          <w:rFonts w:eastAsia="MS Mincho"/>
          <w:b/>
          <w:u w:val="single"/>
          <w:lang w:eastAsia="ja-JP"/>
        </w:rPr>
      </w:pPr>
      <w:r>
        <w:rPr>
          <w:rFonts w:eastAsia="MS Mincho"/>
          <w:b/>
          <w:u w:val="single"/>
          <w:lang w:eastAsia="ja-JP"/>
        </w:rPr>
        <w:lastRenderedPageBreak/>
        <w:t xml:space="preserve">Proposal </w:t>
      </w:r>
      <w:r w:rsidR="002C5830">
        <w:rPr>
          <w:rFonts w:eastAsia="MS Mincho"/>
          <w:b/>
          <w:u w:val="single"/>
          <w:lang w:eastAsia="ja-JP"/>
        </w:rPr>
        <w:t>11</w:t>
      </w:r>
      <w:r>
        <w:rPr>
          <w:rFonts w:eastAsia="MS Mincho"/>
          <w:b/>
          <w:u w:val="single"/>
          <w:lang w:eastAsia="ja-JP"/>
        </w:rPr>
        <w:t xml:space="preserve">: </w:t>
      </w:r>
      <w:r w:rsidR="00EF6070">
        <w:rPr>
          <w:rFonts w:eastAsia="MS Mincho"/>
          <w:b/>
          <w:u w:val="single"/>
          <w:lang w:eastAsia="ja-JP"/>
        </w:rPr>
        <w:t xml:space="preserve">Study the LBT procedure and </w:t>
      </w:r>
      <w:r w:rsidR="00703357">
        <w:rPr>
          <w:rFonts w:eastAsia="MS Mincho"/>
          <w:b/>
          <w:u w:val="single"/>
          <w:lang w:eastAsia="ja-JP"/>
        </w:rPr>
        <w:t xml:space="preserve">the </w:t>
      </w:r>
      <w:r w:rsidR="00EF6070">
        <w:rPr>
          <w:rFonts w:eastAsia="MS Mincho"/>
          <w:b/>
          <w:u w:val="single"/>
          <w:lang w:eastAsia="ja-JP"/>
        </w:rPr>
        <w:t>impact</w:t>
      </w:r>
      <w:r w:rsidR="00703357">
        <w:rPr>
          <w:rFonts w:eastAsia="MS Mincho"/>
          <w:b/>
          <w:u w:val="single"/>
          <w:lang w:eastAsia="ja-JP"/>
        </w:rPr>
        <w:t>s</w:t>
      </w:r>
      <w:r w:rsidR="00EF6070">
        <w:rPr>
          <w:rFonts w:eastAsia="MS Mincho"/>
          <w:b/>
          <w:u w:val="single"/>
          <w:lang w:eastAsia="ja-JP"/>
        </w:rPr>
        <w:t xml:space="preserve"> of LBT overhead </w:t>
      </w:r>
      <w:r w:rsidR="00703357">
        <w:rPr>
          <w:rFonts w:eastAsia="MS Mincho"/>
          <w:b/>
          <w:u w:val="single"/>
          <w:lang w:eastAsia="ja-JP"/>
        </w:rPr>
        <w:t>for</w:t>
      </w:r>
      <w:r w:rsidR="00EF6070">
        <w:rPr>
          <w:rFonts w:eastAsia="MS Mincho"/>
          <w:b/>
          <w:u w:val="single"/>
          <w:lang w:eastAsia="ja-JP"/>
        </w:rPr>
        <w:t xml:space="preserve"> SSB mapping patterns </w:t>
      </w:r>
      <w:r w:rsidR="008D5C25">
        <w:rPr>
          <w:rFonts w:eastAsia="MS Mincho"/>
          <w:b/>
          <w:u w:val="single"/>
          <w:lang w:eastAsia="ja-JP"/>
        </w:rPr>
        <w:t>of</w:t>
      </w:r>
      <w:r w:rsidR="00EF6070">
        <w:rPr>
          <w:rFonts w:eastAsia="MS Mincho"/>
          <w:b/>
          <w:u w:val="single"/>
          <w:lang w:eastAsia="ja-JP"/>
        </w:rPr>
        <w:t xml:space="preserve"> NR-U.</w:t>
      </w:r>
    </w:p>
    <w:p w14:paraId="65CCE1A1" w14:textId="77777777" w:rsidR="00003BE2" w:rsidRPr="00EC2951" w:rsidRDefault="00AA5639" w:rsidP="00FD5318">
      <w:pPr>
        <w:pStyle w:val="Heading1"/>
        <w:numPr>
          <w:ilvl w:val="0"/>
          <w:numId w:val="11"/>
        </w:numPr>
        <w:pBdr>
          <w:top w:val="single" w:sz="12" w:space="3" w:color="auto"/>
        </w:pBdr>
        <w:spacing w:line="288" w:lineRule="auto"/>
        <w:jc w:val="both"/>
        <w:rPr>
          <w:rFonts w:eastAsia="Batang"/>
          <w:sz w:val="28"/>
          <w:lang w:val="en-US" w:eastAsia="ko-KR"/>
        </w:rPr>
      </w:pPr>
      <w:r w:rsidRPr="00890B88">
        <w:rPr>
          <w:rFonts w:eastAsia="Batang"/>
          <w:sz w:val="28"/>
          <w:lang w:val="en-US" w:eastAsia="ko-KR"/>
        </w:rPr>
        <w:t xml:space="preserve">LBT for </w:t>
      </w:r>
      <w:r w:rsidR="004347B3">
        <w:rPr>
          <w:rFonts w:eastAsia="Batang"/>
          <w:sz w:val="28"/>
          <w:lang w:val="en-US" w:eastAsia="ko-KR"/>
        </w:rPr>
        <w:t>NR-U</w:t>
      </w:r>
      <w:r w:rsidR="0087262F">
        <w:rPr>
          <w:rFonts w:eastAsia="Batang"/>
          <w:sz w:val="28"/>
          <w:lang w:val="en-US" w:eastAsia="ko-KR"/>
        </w:rPr>
        <w:t xml:space="preserve"> </w:t>
      </w:r>
      <w:r>
        <w:rPr>
          <w:rFonts w:eastAsia="Batang"/>
          <w:sz w:val="28"/>
          <w:lang w:val="en-US" w:eastAsia="ko-KR"/>
        </w:rPr>
        <w:t>Random Access</w:t>
      </w:r>
    </w:p>
    <w:p w14:paraId="7FF8C88F" w14:textId="77777777" w:rsidR="00003BE2" w:rsidRDefault="00003BE2" w:rsidP="00003BE2">
      <w:pPr>
        <w:spacing w:line="288" w:lineRule="auto"/>
        <w:jc w:val="both"/>
      </w:pPr>
      <w:r>
        <w:rPr>
          <w:lang w:eastAsia="ja-JP"/>
        </w:rPr>
        <w:t xml:space="preserve">The LBT design for PRACH is essential to the NR-U random access performance. Specifically, in order to ensure a fast PRACH transmission, LBT for PRACH can be a single-shot LBT (e.g., of 25 </w:t>
      </w:r>
      <w:r>
        <w:t xml:space="preserve">µs duration), or a CAT-4 LBT with higher LBT priority class (e.g., LBT priority class 1). Since NR-U mainly targets the small-cell scenarios, NR-U can only focus on supporting the PRACH preamble formats of short sequence length (e.g., 2/4/6/12 OFDM symbols) [3]. Because of the short transmission duration of PRACH, single-shot LBT is suffice to grant PRACH transmission. By contrast, the MCOT for CAT-4 LBT with priority class 1 is 2ms, which is much longer than the PRACH duration. Furthermore, compared to NR licensed wherein the time-domain RACH occasions (ROs) are consecutively allocated within RACH slot(s), </w:t>
      </w:r>
      <w:r w:rsidRPr="00DE383D">
        <w:t>the effect</w:t>
      </w:r>
      <w:r>
        <w:t>s</w:t>
      </w:r>
      <w:r w:rsidRPr="00DE383D">
        <w:t xml:space="preserve"> of time-domain overhead for performing LBT </w:t>
      </w:r>
      <w:r>
        <w:t>needs to be incorporated in assigning the ROs for NR-U</w:t>
      </w:r>
      <w:r w:rsidRPr="00DE383D">
        <w:t>.</w:t>
      </w:r>
      <w:r>
        <w:t xml:space="preserve"> Since single-shot LBT requires much less time-domain overhead compared to CAT-4 LBT, and the duration of single-shot LBT is deterministic as opposed to CAT-4 LBT, single-shot LBT is also preferred over CAT-4 LBT for a more efficient PRACH configuration design for NR-U.</w:t>
      </w:r>
    </w:p>
    <w:p w14:paraId="06330572" w14:textId="47B8BEFC" w:rsidR="00003BE2" w:rsidRPr="00003BE2" w:rsidRDefault="00003BE2" w:rsidP="00003BE2">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w:t>
      </w:r>
      <w:r w:rsidR="002C5830">
        <w:rPr>
          <w:rFonts w:eastAsia="MS Mincho"/>
          <w:b/>
          <w:u w:val="single"/>
          <w:lang w:eastAsia="ja-JP"/>
        </w:rPr>
        <w:t>12</w:t>
      </w:r>
      <w:r w:rsidRPr="001C76A9">
        <w:rPr>
          <w:rFonts w:eastAsia="MS Mincho"/>
          <w:b/>
          <w:u w:val="single"/>
          <w:lang w:eastAsia="ja-JP"/>
        </w:rPr>
        <w:t xml:space="preserve">: </w:t>
      </w:r>
      <w:r>
        <w:rPr>
          <w:rFonts w:eastAsia="MS Mincho"/>
          <w:b/>
          <w:u w:val="single"/>
          <w:lang w:eastAsia="ja-JP"/>
        </w:rPr>
        <w:t>Single-shot LBT can be used as the LBT option for NR-U</w:t>
      </w:r>
      <w:r w:rsidR="00E1454B">
        <w:rPr>
          <w:rFonts w:eastAsia="MS Mincho"/>
          <w:b/>
          <w:u w:val="single"/>
          <w:lang w:eastAsia="ja-JP"/>
        </w:rPr>
        <w:t xml:space="preserve"> PRACH</w:t>
      </w:r>
      <w:r>
        <w:rPr>
          <w:rFonts w:eastAsia="MS Mincho"/>
          <w:b/>
          <w:u w:val="single"/>
          <w:lang w:eastAsia="ja-JP"/>
        </w:rPr>
        <w:t>.</w:t>
      </w:r>
    </w:p>
    <w:p w14:paraId="6E64A4AD" w14:textId="77777777" w:rsidR="00003BE2" w:rsidRDefault="00003BE2" w:rsidP="00003BE2">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For RAR (Msg2), </w:t>
      </w:r>
      <w:r>
        <w:t xml:space="preserve">the LBT can be CAT-4 based LBT, potentially with higher LBT priority class for a faster RAR transmission. In this case, Msg3 can share the MCOT of the RAR, and can be transmitted subject to a single-shot LBT since the gap between Msg3 and RAR is greater than 16 µs. In addition, UE can monitor for an extended RAR window compared to Rel-15 NR as the CAT-4 LBT duration is non-deterministic, such that UE can have a more relaxed timing to detect the RAR. The proposed LBT options for RAR and Msg3 is illustrated in Figure </w:t>
      </w:r>
      <w:r w:rsidR="00302CD2">
        <w:t>7</w:t>
      </w:r>
      <w:r>
        <w:t xml:space="preserve">. </w:t>
      </w:r>
    </w:p>
    <w:p w14:paraId="260E7EE1" w14:textId="77777777" w:rsidR="00003BE2" w:rsidRDefault="00003BE2" w:rsidP="00003BE2">
      <w:pPr>
        <w:spacing w:line="288" w:lineRule="auto"/>
        <w:jc w:val="center"/>
      </w:pPr>
      <w:r>
        <w:object w:dxaOrig="7500" w:dyaOrig="2593" w14:anchorId="565C4A33">
          <v:shape id="_x0000_i1033" type="#_x0000_t75" style="width:287.25pt;height:99pt" o:ole="">
            <v:imagedata r:id="rId20" o:title=""/>
          </v:shape>
          <o:OLEObject Type="Embed" ProgID="Visio.Drawing.15" ShapeID="_x0000_i1033" DrawAspect="Content" ObjectID="_1599646932" r:id="rId21"/>
        </w:object>
      </w:r>
    </w:p>
    <w:p w14:paraId="1526454C" w14:textId="77777777" w:rsidR="00003BE2" w:rsidRDefault="00003BE2" w:rsidP="00003BE2">
      <w:pPr>
        <w:spacing w:line="288" w:lineRule="auto"/>
        <w:jc w:val="center"/>
      </w:pPr>
      <w:r>
        <w:t>Figure</w:t>
      </w:r>
      <w:r w:rsidR="00302CD2">
        <w:t xml:space="preserve"> 7</w:t>
      </w:r>
      <w:r>
        <w:t xml:space="preserve">. LBT options and timing relation for Msg2 and Msg3. </w:t>
      </w:r>
    </w:p>
    <w:p w14:paraId="783D39FD" w14:textId="77777777" w:rsidR="00003BE2" w:rsidRDefault="00003BE2" w:rsidP="00003BE2">
      <w:pPr>
        <w:spacing w:line="288" w:lineRule="auto"/>
      </w:pPr>
      <w:r w:rsidRPr="00413761">
        <w:t xml:space="preserve">For Msg4, </w:t>
      </w:r>
      <w:r>
        <w:t>the CAT-4 LBT can be used similar to Msg2, potentially with higher LBT priority class. In this case, the UE can share the MCOT with Msg4 and respond the HARQ-ACK subject to single-shot LBT.</w:t>
      </w:r>
    </w:p>
    <w:p w14:paraId="5FE6A6C1" w14:textId="1583B12D" w:rsidR="00003BE2" w:rsidRPr="00003BE2" w:rsidRDefault="00003BE2" w:rsidP="00003BE2">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2E982018" w14:textId="77777777" w:rsidR="004C6AFD" w:rsidRPr="004C6AFD" w:rsidRDefault="005740F8" w:rsidP="005740F8">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1D13F45D" w14:textId="77777777" w:rsidR="004C6826" w:rsidRPr="006F1528" w:rsidRDefault="004C6826" w:rsidP="005740F8">
      <w:pPr>
        <w:spacing w:line="288" w:lineRule="auto"/>
        <w:jc w:val="both"/>
      </w:pPr>
      <w:r w:rsidRPr="00C80100">
        <w:t>Besides the load-based equipment (LBE) operation mode, NR-U can also support the FBE operation mode</w:t>
      </w:r>
      <w:r>
        <w:t>. T</w:t>
      </w:r>
      <w:r w:rsidR="00350082">
        <w:t xml:space="preserve">he FBE operations </w:t>
      </w:r>
      <w:r w:rsidRPr="00C80100">
        <w:t>in [</w:t>
      </w:r>
      <w:r w:rsidR="003958D5">
        <w:t>2</w:t>
      </w:r>
      <w:r>
        <w:t xml:space="preserve">] 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Pr="00C80100">
        <w:t xml:space="preserve"> </w:t>
      </w:r>
    </w:p>
    <w:p w14:paraId="21925DBE" w14:textId="77777777" w:rsidR="00EF3391" w:rsidRDefault="005740F8" w:rsidP="004C6826">
      <w:pPr>
        <w:spacing w:line="288" w:lineRule="auto"/>
        <w:jc w:val="both"/>
        <w:rPr>
          <w:rFonts w:eastAsia="Malgun Gothic"/>
        </w:rPr>
      </w:pPr>
      <w:r>
        <w:rPr>
          <w:rFonts w:eastAsia="Malgun Gothic"/>
        </w:rPr>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the baseline channel access approach</w:t>
      </w:r>
      <w:r w:rsidRPr="00B32744">
        <w:rPr>
          <w:rFonts w:eastAsia="Malgun Gothic"/>
        </w:rPr>
        <w:t xml:space="preserve"> may be inefficient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Pr="00B32744">
        <w:rPr>
          <w:rFonts w:eastAsia="Malgun Gothic"/>
        </w:rPr>
        <w:t>, such that 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r w:rsidRPr="005740F8">
        <w:rPr>
          <w:rFonts w:eastAsia="Malgun Gothic"/>
        </w:rPr>
        <w:t xml:space="preserve">In addition, for asynchronous FBE NR-U, </w:t>
      </w:r>
      <w:r w:rsidR="00F657F7">
        <w:rPr>
          <w:rFonts w:eastAsia="Malgun Gothic"/>
        </w:rPr>
        <w:t>LBT</w:t>
      </w:r>
      <w:r w:rsidRPr="005740F8">
        <w:rPr>
          <w:rFonts w:eastAsia="Malgun Gothic"/>
        </w:rPr>
        <w:t xml:space="preserve"> performed </w:t>
      </w:r>
      <w:r w:rsidR="00F657F7">
        <w:rPr>
          <w:rFonts w:eastAsia="Malgun Gothic"/>
        </w:rPr>
        <w:t xml:space="preserve">by a gNB </w:t>
      </w:r>
      <w:r w:rsidRPr="005740F8">
        <w:rPr>
          <w:rFonts w:eastAsia="Malgun Gothic"/>
        </w:rPr>
        <w:t xml:space="preserve">may always be blocked by the transmission from a nearby asynchronous </w:t>
      </w:r>
      <w:r w:rsidR="00F657F7">
        <w:rPr>
          <w:rFonts w:eastAsia="Malgun Gothic"/>
        </w:rPr>
        <w:t>gNB</w:t>
      </w:r>
      <w:r w:rsidRPr="005740F8">
        <w:rPr>
          <w:rFonts w:eastAsia="Malgun Gothic"/>
        </w:rPr>
        <w:t>.</w:t>
      </w:r>
      <w:r w:rsidR="004C6AFD">
        <w:rPr>
          <w:rFonts w:eastAsia="Malgun Gothic"/>
        </w:rPr>
        <w:t xml:space="preserve"> </w:t>
      </w:r>
    </w:p>
    <w:p w14:paraId="07230038" w14:textId="77777777" w:rsidR="00EF3391" w:rsidRDefault="00076A63" w:rsidP="004C6826">
      <w:pPr>
        <w:spacing w:line="288" w:lineRule="auto"/>
        <w:jc w:val="both"/>
        <w:rPr>
          <w:rFonts w:eastAsia="MS Mincho"/>
          <w:b/>
          <w:u w:val="single"/>
          <w:lang w:eastAsia="ja-JP"/>
        </w:rPr>
      </w:pPr>
      <w:r>
        <w:rPr>
          <w:rFonts w:eastAsia="Malgun Gothic"/>
        </w:rPr>
        <w:lastRenderedPageBreak/>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r w:rsidR="00EF3391">
        <w:rPr>
          <w:rFonts w:eastAsia="MS Mincho"/>
          <w:b/>
          <w:u w:val="single"/>
          <w:lang w:eastAsia="ja-JP"/>
        </w:rPr>
        <w:t xml:space="preserve"> </w:t>
      </w:r>
    </w:p>
    <w:p w14:paraId="64CC0EAD" w14:textId="7830C6D6" w:rsidR="00F364F2" w:rsidRPr="00F364F2" w:rsidRDefault="00F364F2" w:rsidP="004C6826">
      <w:pPr>
        <w:spacing w:line="288" w:lineRule="auto"/>
        <w:jc w:val="both"/>
        <w:rPr>
          <w:rFonts w:eastAsia="MS Mincho"/>
          <w:b/>
          <w:u w:val="single"/>
          <w:lang w:eastAsia="ja-JP"/>
        </w:rPr>
      </w:pPr>
      <w:r>
        <w:rPr>
          <w:rFonts w:eastAsia="MS Mincho"/>
          <w:b/>
          <w:u w:val="single"/>
          <w:lang w:eastAsia="ja-JP"/>
        </w:rPr>
        <w:t xml:space="preserve">Proposal </w:t>
      </w:r>
      <w:r w:rsidR="002C5830">
        <w:rPr>
          <w:rFonts w:eastAsia="MS Mincho"/>
          <w:b/>
          <w:u w:val="single"/>
          <w:lang w:eastAsia="ja-JP"/>
        </w:rPr>
        <w:t>14</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5C3DC7">
        <w:rPr>
          <w:rFonts w:eastAsia="MS Mincho"/>
          <w:b/>
          <w:u w:val="single"/>
          <w:lang w:eastAsia="ja-JP"/>
        </w:rPr>
        <w:t xml:space="preserve">for </w:t>
      </w:r>
      <w:r w:rsidR="007220EB">
        <w:rPr>
          <w:rFonts w:eastAsia="MS Mincho"/>
          <w:b/>
          <w:u w:val="single"/>
          <w:lang w:eastAsia="ja-JP"/>
        </w:rPr>
        <w:t>FBE-based NR-U</w:t>
      </w:r>
      <w:r w:rsidR="00500728">
        <w:rPr>
          <w:rFonts w:eastAsia="MS Mincho"/>
          <w:b/>
          <w:u w:val="single"/>
          <w:lang w:eastAsia="ja-JP"/>
        </w:rPr>
        <w:t xml:space="preserve">, which is beneficial in improving </w:t>
      </w:r>
      <w:r w:rsidR="00D83489">
        <w:rPr>
          <w:rFonts w:eastAsia="MS Mincho"/>
          <w:b/>
          <w:u w:val="single"/>
          <w:lang w:eastAsia="ja-JP"/>
        </w:rPr>
        <w:t>spatial reuse</w:t>
      </w:r>
      <w:r>
        <w:rPr>
          <w:rFonts w:eastAsia="MS Mincho"/>
          <w:b/>
          <w:u w:val="single"/>
          <w:lang w:eastAsia="ja-JP"/>
        </w:rPr>
        <w:t>.</w:t>
      </w:r>
    </w:p>
    <w:p w14:paraId="035BF4BE" w14:textId="77777777" w:rsidR="004B04A6" w:rsidRPr="0062029B" w:rsidRDefault="004B04A6" w:rsidP="00595CF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t>Conclusions</w:t>
      </w:r>
    </w:p>
    <w:p w14:paraId="79C8D418" w14:textId="77777777" w:rsidR="002A7B00" w:rsidRDefault="00C071F5" w:rsidP="00595CF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287D89F7" w14:textId="77777777" w:rsidR="002C5830" w:rsidRDefault="002C5830" w:rsidP="002C5830">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sidRPr="006009E6">
        <w:rPr>
          <w:rFonts w:eastAsia="MS Mincho"/>
          <w:b/>
          <w:u w:val="single"/>
          <w:lang w:eastAsia="ja-JP"/>
        </w:rPr>
        <w:t>:</w:t>
      </w:r>
      <w:r>
        <w:rPr>
          <w:rFonts w:eastAsia="MS Mincho"/>
          <w:b/>
          <w:u w:val="single"/>
          <w:lang w:eastAsia="ja-JP"/>
        </w:rPr>
        <w:t xml:space="preserve"> </w:t>
      </w:r>
      <w:r w:rsidRPr="00D91B4F">
        <w:rPr>
          <w:rFonts w:eastAsia="MS Mincho"/>
          <w:b/>
          <w:u w:val="single"/>
          <w:lang w:eastAsia="ja-JP"/>
        </w:rPr>
        <w:t xml:space="preserve">CWS adaptation can </w:t>
      </w:r>
      <w:r>
        <w:rPr>
          <w:rFonts w:eastAsia="MS Mincho"/>
          <w:b/>
          <w:u w:val="single"/>
          <w:lang w:eastAsia="ja-JP"/>
        </w:rPr>
        <w:t xml:space="preserve">be </w:t>
      </w:r>
      <w:r w:rsidRPr="00D91B4F">
        <w:rPr>
          <w:rFonts w:eastAsia="MS Mincho"/>
          <w:b/>
          <w:u w:val="single"/>
          <w:lang w:eastAsia="ja-JP"/>
        </w:rPr>
        <w:t xml:space="preserve">based on </w:t>
      </w:r>
      <w:r>
        <w:rPr>
          <w:rFonts w:eastAsia="MS Mincho"/>
          <w:b/>
          <w:u w:val="single"/>
          <w:lang w:eastAsia="ja-JP"/>
        </w:rPr>
        <w:t xml:space="preserve">the </w:t>
      </w:r>
      <w:r w:rsidRPr="00D91B4F">
        <w:rPr>
          <w:rFonts w:eastAsia="MS Mincho"/>
          <w:b/>
          <w:u w:val="single"/>
          <w:lang w:eastAsia="ja-JP"/>
        </w:rPr>
        <w:t>HARQ-</w:t>
      </w:r>
      <w:r>
        <w:rPr>
          <w:rFonts w:eastAsia="MS Mincho"/>
          <w:b/>
          <w:u w:val="single"/>
          <w:lang w:eastAsia="ja-JP"/>
        </w:rPr>
        <w:t xml:space="preserve">ACK values for </w:t>
      </w:r>
      <w:r w:rsidRPr="00D91B4F">
        <w:rPr>
          <w:rFonts w:eastAsia="MS Mincho"/>
          <w:b/>
          <w:u w:val="single"/>
          <w:lang w:eastAsia="ja-JP"/>
        </w:rPr>
        <w:t>the first slot o</w:t>
      </w:r>
      <w:r>
        <w:rPr>
          <w:rFonts w:eastAsia="MS Mincho"/>
          <w:b/>
          <w:u w:val="single"/>
          <w:lang w:eastAsia="ja-JP"/>
        </w:rPr>
        <w:t xml:space="preserve">f </w:t>
      </w:r>
      <w:r w:rsidRPr="00D91B4F">
        <w:rPr>
          <w:rFonts w:eastAsia="MS Mincho"/>
          <w:b/>
          <w:u w:val="single"/>
          <w:lang w:eastAsia="ja-JP"/>
        </w:rPr>
        <w:t>the most recent transmission burst</w:t>
      </w:r>
      <w:r>
        <w:rPr>
          <w:rFonts w:eastAsia="MS Mincho"/>
          <w:b/>
          <w:u w:val="single"/>
          <w:lang w:eastAsia="ja-JP"/>
        </w:rPr>
        <w:t>,</w:t>
      </w:r>
      <w:r w:rsidRPr="00D91B4F">
        <w:rPr>
          <w:rFonts w:eastAsia="MS Mincho"/>
          <w:b/>
          <w:u w:val="single"/>
          <w:lang w:eastAsia="ja-JP"/>
        </w:rPr>
        <w:t xml:space="preserve"> wherein at least some HARQ-ACK feedbacks </w:t>
      </w:r>
      <w:r>
        <w:rPr>
          <w:rFonts w:eastAsia="MS Mincho"/>
          <w:b/>
          <w:u w:val="single"/>
          <w:lang w:eastAsia="ja-JP"/>
        </w:rPr>
        <w:t xml:space="preserve">corresponding to the first slot </w:t>
      </w:r>
      <w:r w:rsidRPr="00D91B4F">
        <w:rPr>
          <w:rFonts w:eastAsia="MS Mincho"/>
          <w:b/>
          <w:u w:val="single"/>
          <w:lang w:eastAsia="ja-JP"/>
        </w:rPr>
        <w:t>within this burst is expected to be available by the time gNB performs CWS adaptation</w:t>
      </w:r>
      <w:r>
        <w:rPr>
          <w:rFonts w:eastAsia="MS Mincho"/>
          <w:b/>
          <w:u w:val="single"/>
          <w:lang w:eastAsia="ja-JP"/>
        </w:rPr>
        <w:t>.</w:t>
      </w:r>
    </w:p>
    <w:p w14:paraId="73229C46" w14:textId="77777777" w:rsidR="002C5830" w:rsidRDefault="002C5830" w:rsidP="002C5830">
      <w:pPr>
        <w:spacing w:line="288" w:lineRule="auto"/>
        <w:rPr>
          <w:b/>
          <w:u w:val="single"/>
        </w:rPr>
      </w:pPr>
      <w:r>
        <w:rPr>
          <w:rFonts w:eastAsia="MS Mincho"/>
          <w:b/>
          <w:u w:val="single"/>
          <w:lang w:eastAsia="ja-JP"/>
        </w:rPr>
        <w:t xml:space="preserve">Proposal </w:t>
      </w:r>
      <w:r>
        <w:rPr>
          <w:b/>
          <w:u w:val="single"/>
        </w:rPr>
        <w:t>2</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11D21794" w14:textId="77777777" w:rsidR="002C5830" w:rsidRDefault="002C5830" w:rsidP="002C5830">
      <w:pPr>
        <w:spacing w:line="288" w:lineRule="auto"/>
        <w:jc w:val="both"/>
        <w:rPr>
          <w:rFonts w:eastAsia="MS Mincho"/>
          <w:b/>
          <w:u w:val="single"/>
          <w:lang w:eastAsia="ja-JP"/>
        </w:rPr>
      </w:pPr>
      <w:r w:rsidRPr="005A6573">
        <w:rPr>
          <w:rFonts w:eastAsia="MS Mincho"/>
          <w:b/>
          <w:u w:val="single"/>
          <w:lang w:eastAsia="ja-JP"/>
        </w:rPr>
        <w:t xml:space="preserve">Proposal </w:t>
      </w:r>
      <w:r w:rsidRPr="005A6573">
        <w:rPr>
          <w:b/>
          <w:u w:val="single"/>
        </w:rPr>
        <w:t>3</w:t>
      </w:r>
      <w:r w:rsidRPr="005A6573">
        <w:rPr>
          <w:rFonts w:eastAsia="MS Mincho"/>
          <w:b/>
          <w:u w:val="single"/>
          <w:lang w:eastAsia="ja-JP"/>
        </w:rPr>
        <w:t xml:space="preserve">: </w:t>
      </w:r>
      <w:r w:rsidRPr="005A6573">
        <w:rPr>
          <w:rFonts w:hint="eastAsia"/>
          <w:b/>
          <w:u w:val="single"/>
        </w:rPr>
        <w:t xml:space="preserve">The minimum latency between </w:t>
      </w:r>
      <w:r w:rsidRPr="005A6573">
        <w:rPr>
          <w:rFonts w:hint="eastAsia"/>
          <w:b/>
          <w:u w:val="single"/>
          <w:lang w:val="en-GB"/>
        </w:rPr>
        <w:t xml:space="preserve">the slot in which UE receives UL grant or DFI and the </w:t>
      </w:r>
      <w:r w:rsidRPr="005A6573">
        <w:rPr>
          <w:b/>
          <w:u w:val="single"/>
          <w:lang w:val="en-GB"/>
        </w:rPr>
        <w:t>reference</w:t>
      </w:r>
      <w:r w:rsidRPr="005A6573">
        <w:rPr>
          <w:rFonts w:hint="eastAsia"/>
          <w:b/>
          <w:u w:val="single"/>
          <w:lang w:val="en-GB"/>
        </w:rPr>
        <w:t xml:space="preserve"> slot should be defined.</w:t>
      </w:r>
    </w:p>
    <w:p w14:paraId="43DF3CD7" w14:textId="77777777" w:rsidR="002C5830" w:rsidRDefault="002C5830" w:rsidP="002C5830">
      <w:pPr>
        <w:spacing w:line="288" w:lineRule="auto"/>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 xml:space="preserve">: </w:t>
      </w:r>
      <w:r>
        <w:rPr>
          <w:rFonts w:eastAsia="MS Mincho"/>
          <w:b/>
          <w:u w:val="single"/>
          <w:lang w:eastAsia="ja-JP"/>
        </w:rPr>
        <w:t>Support directional LBT at least for NR-U/NR-U coexistence, and further evaluate the directional LBT performance and corresponding hidden/exposed node effects.</w:t>
      </w:r>
    </w:p>
    <w:p w14:paraId="662DE729" w14:textId="77777777" w:rsidR="002C5830" w:rsidRPr="009C35D8" w:rsidRDefault="002C5830" w:rsidP="002C5830">
      <w:pPr>
        <w:spacing w:line="288" w:lineRule="auto"/>
        <w:jc w:val="both"/>
        <w:rPr>
          <w:rFonts w:eastAsia="MS Mincho"/>
          <w:b/>
          <w:u w:val="single"/>
          <w:lang w:eastAsia="ja-JP"/>
        </w:rPr>
      </w:pPr>
      <w:r>
        <w:rPr>
          <w:rFonts w:eastAsia="MS Mincho"/>
          <w:b/>
          <w:u w:val="single"/>
          <w:lang w:eastAsia="ja-JP"/>
        </w:rPr>
        <w:t>Proposal 5</w:t>
      </w:r>
      <w:r w:rsidRPr="006009E6">
        <w:rPr>
          <w:rFonts w:eastAsia="MS Mincho"/>
          <w:b/>
          <w:u w:val="single"/>
          <w:lang w:eastAsia="ja-JP"/>
        </w:rPr>
        <w:t xml:space="preserve">: </w:t>
      </w:r>
      <w:r>
        <w:rPr>
          <w:rFonts w:eastAsia="MS Mincho"/>
          <w:b/>
          <w:u w:val="single"/>
          <w:lang w:eastAsia="ja-JP"/>
        </w:rPr>
        <w:t xml:space="preserve">Sub-7 GHz NR-U can allocate a single carrier and BWP in the units of 20 MHz for fair coexistence with Wi-Fi. </w:t>
      </w:r>
    </w:p>
    <w:p w14:paraId="0A09EEAF" w14:textId="77777777" w:rsidR="002C5830" w:rsidRPr="006E2F08" w:rsidRDefault="002C5830" w:rsidP="002C5830">
      <w:pPr>
        <w:spacing w:line="288" w:lineRule="auto"/>
        <w:jc w:val="both"/>
        <w:rPr>
          <w:rFonts w:eastAsia="MS Mincho"/>
          <w:b/>
          <w:u w:val="single"/>
          <w:lang w:eastAsia="ja-JP"/>
        </w:rPr>
      </w:pPr>
      <w:r>
        <w:rPr>
          <w:rFonts w:eastAsia="MS Mincho"/>
          <w:b/>
          <w:u w:val="single"/>
          <w:lang w:eastAsia="ja-JP"/>
        </w:rPr>
        <w:t>Proposal 6</w:t>
      </w:r>
      <w:r w:rsidRPr="006009E6">
        <w:rPr>
          <w:rFonts w:eastAsia="MS Mincho"/>
          <w:b/>
          <w:u w:val="single"/>
          <w:lang w:eastAsia="ja-JP"/>
        </w:rPr>
        <w:t xml:space="preserve">: </w:t>
      </w:r>
      <w:r>
        <w:rPr>
          <w:rFonts w:eastAsia="MS Mincho"/>
          <w:b/>
          <w:u w:val="single"/>
          <w:lang w:eastAsia="ja-JP"/>
        </w:rPr>
        <w:t>BWP-specific LBT/sub-band LBT can be supported for NR-U LBT over a wideband carrier, with multi-carrier LBT of LTE-LAA as the baseline procedure.</w:t>
      </w:r>
    </w:p>
    <w:p w14:paraId="3A165A6F"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7</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06982A45" w14:textId="77777777" w:rsidR="002C5830" w:rsidRPr="006E2F08" w:rsidRDefault="002C5830" w:rsidP="002C5830">
      <w:pPr>
        <w:spacing w:line="288" w:lineRule="auto"/>
        <w:jc w:val="both"/>
        <w:rPr>
          <w:rFonts w:eastAsia="MS Mincho"/>
          <w:b/>
          <w:u w:val="single"/>
          <w:lang w:eastAsia="ja-JP"/>
        </w:rPr>
      </w:pPr>
      <w:r>
        <w:rPr>
          <w:rFonts w:eastAsia="MS Mincho"/>
          <w:b/>
          <w:u w:val="single"/>
          <w:lang w:eastAsia="ja-JP"/>
        </w:rPr>
        <w:t xml:space="preserve">Proposal </w:t>
      </w:r>
      <w:r>
        <w:rPr>
          <w:b/>
          <w:u w:val="single"/>
        </w:rPr>
        <w:t>8</w:t>
      </w:r>
      <w:r w:rsidRPr="006009E6">
        <w:rPr>
          <w:rFonts w:eastAsia="MS Mincho"/>
          <w:b/>
          <w:u w:val="single"/>
          <w:lang w:eastAsia="ja-JP"/>
        </w:rPr>
        <w:t xml:space="preserve">: </w:t>
      </w:r>
      <w:r>
        <w:rPr>
          <w:rFonts w:eastAsia="MS Mincho"/>
          <w:b/>
          <w:u w:val="single"/>
          <w:lang w:eastAsia="ja-JP"/>
        </w:rPr>
        <w:t>No-LBT option can be used at DL/UL switching point within the shared COT of gNB, if the gap duration is within 16</w:t>
      </w:r>
      <w:r w:rsidRPr="00791D17">
        <w:rPr>
          <w:rFonts w:eastAsia="MS Mincho"/>
          <w:b/>
          <w:u w:val="single"/>
          <w:lang w:eastAsia="ja-JP"/>
        </w:rPr>
        <w:t>μs</w:t>
      </w:r>
      <w:r>
        <w:rPr>
          <w:rFonts w:eastAsia="MS Mincho"/>
          <w:b/>
          <w:u w:val="single"/>
          <w:lang w:eastAsia="ja-JP"/>
        </w:rPr>
        <w:t>.</w:t>
      </w:r>
    </w:p>
    <w:p w14:paraId="169A59A8" w14:textId="77777777" w:rsidR="002C5830" w:rsidRPr="00350BD2" w:rsidRDefault="002C5830" w:rsidP="002C5830">
      <w:pPr>
        <w:spacing w:line="288" w:lineRule="auto"/>
        <w:jc w:val="both"/>
        <w:rPr>
          <w:rFonts w:eastAsia="MS Mincho"/>
          <w:lang w:eastAsia="ja-JP"/>
        </w:rPr>
      </w:pPr>
      <w:r>
        <w:rPr>
          <w:rFonts w:eastAsia="MS Mincho"/>
          <w:b/>
          <w:u w:val="single"/>
          <w:lang w:eastAsia="ja-JP"/>
        </w:rPr>
        <w:t xml:space="preserve">Proposal </w:t>
      </w:r>
      <w:r>
        <w:rPr>
          <w:b/>
          <w:u w:val="single"/>
        </w:rPr>
        <w:t>9</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support LBT with handshake mechanism as a fair and efficient channel access scheme, and further investigate the details for handshake exchange procedure and handshake message design.</w:t>
      </w:r>
    </w:p>
    <w:p w14:paraId="3A6E4B89"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10</w:t>
      </w:r>
      <w:r w:rsidRPr="006009E6">
        <w:rPr>
          <w:rFonts w:eastAsia="MS Mincho"/>
          <w:b/>
          <w:u w:val="single"/>
          <w:lang w:eastAsia="ja-JP"/>
        </w:rPr>
        <w:t xml:space="preserve">: </w:t>
      </w:r>
      <w:r>
        <w:rPr>
          <w:rFonts w:eastAsia="MS Mincho"/>
          <w:b/>
          <w:u w:val="single"/>
          <w:lang w:eastAsia="ja-JP"/>
        </w:rPr>
        <w:t>S</w:t>
      </w:r>
      <w:r w:rsidRPr="00CC1F21">
        <w:rPr>
          <w:rFonts w:eastAsia="MS Mincho"/>
          <w:b/>
          <w:u w:val="single"/>
          <w:lang w:eastAsia="ja-JP"/>
        </w:rPr>
        <w:t>ingle-shot LBT or CAT-4 LBT with high LBT priority class</w:t>
      </w:r>
      <w:r>
        <w:rPr>
          <w:rFonts w:eastAsia="MS Mincho"/>
          <w:b/>
          <w:u w:val="single"/>
          <w:lang w:eastAsia="ja-JP"/>
        </w:rPr>
        <w:t xml:space="preserve"> can be used to grant transmission of a SS/PBCH block, or consecutive SS/PBCH blocks.</w:t>
      </w:r>
      <w:r w:rsidRPr="00CC1F21">
        <w:rPr>
          <w:rFonts w:eastAsia="MS Mincho"/>
          <w:b/>
          <w:u w:val="single"/>
          <w:lang w:eastAsia="ja-JP"/>
        </w:rPr>
        <w:t xml:space="preserve"> </w:t>
      </w:r>
    </w:p>
    <w:p w14:paraId="3454A7E1" w14:textId="77777777" w:rsidR="002C5830" w:rsidRDefault="002C5830" w:rsidP="002C5830">
      <w:pPr>
        <w:spacing w:line="288" w:lineRule="auto"/>
        <w:jc w:val="both"/>
        <w:rPr>
          <w:rFonts w:eastAsia="MS Mincho"/>
          <w:b/>
          <w:u w:val="single"/>
          <w:lang w:eastAsia="ja-JP"/>
        </w:rPr>
      </w:pPr>
      <w:r>
        <w:rPr>
          <w:rFonts w:eastAsia="MS Mincho"/>
          <w:b/>
          <w:u w:val="single"/>
          <w:lang w:eastAsia="ja-JP"/>
        </w:rPr>
        <w:t>Proposal 11: Study the LBT procedure and the impacts of LBT overhead for SSB mapping patterns of NR-U.</w:t>
      </w:r>
    </w:p>
    <w:p w14:paraId="2EB925CD" w14:textId="77777777" w:rsidR="002C5830" w:rsidRPr="00003BE2" w:rsidRDefault="002C5830" w:rsidP="002C5830">
      <w:pPr>
        <w:spacing w:line="288" w:lineRule="auto"/>
        <w:jc w:val="both"/>
        <w:rPr>
          <w:rFonts w:eastAsia="MS Mincho"/>
          <w:b/>
          <w:u w:val="single"/>
          <w:lang w:eastAsia="ja-JP"/>
        </w:rPr>
      </w:pPr>
      <w:r w:rsidRPr="001C76A9">
        <w:rPr>
          <w:rFonts w:eastAsia="MS Mincho"/>
          <w:b/>
          <w:u w:val="single"/>
          <w:lang w:eastAsia="ja-JP"/>
        </w:rPr>
        <w:t>Proposal</w:t>
      </w:r>
      <w:r>
        <w:rPr>
          <w:rFonts w:eastAsia="MS Mincho"/>
          <w:b/>
          <w:u w:val="single"/>
          <w:lang w:eastAsia="ja-JP"/>
        </w:rPr>
        <w:t xml:space="preserve"> 12</w:t>
      </w:r>
      <w:r w:rsidRPr="001C76A9">
        <w:rPr>
          <w:rFonts w:eastAsia="MS Mincho"/>
          <w:b/>
          <w:u w:val="single"/>
          <w:lang w:eastAsia="ja-JP"/>
        </w:rPr>
        <w:t xml:space="preserve">: </w:t>
      </w:r>
      <w:r>
        <w:rPr>
          <w:rFonts w:eastAsia="MS Mincho"/>
          <w:b/>
          <w:u w:val="single"/>
          <w:lang w:eastAsia="ja-JP"/>
        </w:rPr>
        <w:t>Single-shot LBT can be used as the LBT option for NR-U PRACH.</w:t>
      </w:r>
    </w:p>
    <w:p w14:paraId="0FEBF2C1" w14:textId="77777777" w:rsidR="002C5830" w:rsidRPr="00003BE2" w:rsidRDefault="002C5830" w:rsidP="002C5830">
      <w:pPr>
        <w:spacing w:line="288" w:lineRule="auto"/>
        <w:jc w:val="both"/>
        <w:rPr>
          <w:rFonts w:eastAsia="MS Mincho"/>
          <w:b/>
          <w:u w:val="single"/>
          <w:lang w:eastAsia="ja-JP"/>
        </w:rPr>
      </w:pPr>
      <w:r>
        <w:rPr>
          <w:rFonts w:eastAsia="MS Mincho"/>
          <w:b/>
          <w:u w:val="single"/>
          <w:lang w:eastAsia="ja-JP"/>
        </w:rPr>
        <w:t>Proposal 13</w:t>
      </w:r>
      <w:r w:rsidRPr="006009E6">
        <w:rPr>
          <w:rFonts w:eastAsia="MS Mincho"/>
          <w:b/>
          <w:u w:val="single"/>
          <w:lang w:eastAsia="ja-JP"/>
        </w:rPr>
        <w:t xml:space="preserve">: </w:t>
      </w:r>
      <w:r>
        <w:rPr>
          <w:rFonts w:eastAsia="MS Mincho"/>
          <w:b/>
          <w:u w:val="single"/>
          <w:lang w:eastAsia="ja-JP"/>
        </w:rPr>
        <w:t>Msg2 and Msg4 of NR-U random access can use CAT-4 LBT, and Msg3 can share MCOT of Msg2 subject to single-shot LBT.</w:t>
      </w:r>
    </w:p>
    <w:p w14:paraId="6A7BCCD9" w14:textId="6513DACF" w:rsidR="002C5830" w:rsidRPr="00D91B4F" w:rsidRDefault="002C5830" w:rsidP="002C5830">
      <w:pPr>
        <w:spacing w:line="288" w:lineRule="auto"/>
        <w:jc w:val="both"/>
        <w:rPr>
          <w:rFonts w:eastAsia="MS Mincho"/>
          <w:b/>
          <w:u w:val="single"/>
          <w:lang w:eastAsia="ja-JP"/>
        </w:rPr>
      </w:pPr>
      <w:r>
        <w:rPr>
          <w:rFonts w:eastAsia="MS Mincho"/>
          <w:b/>
          <w:u w:val="single"/>
          <w:lang w:eastAsia="ja-JP"/>
        </w:rPr>
        <w:t>Proposal 14</w:t>
      </w:r>
      <w:r w:rsidRPr="006009E6">
        <w:rPr>
          <w:rFonts w:eastAsia="MS Mincho"/>
          <w:b/>
          <w:u w:val="single"/>
          <w:lang w:eastAsia="ja-JP"/>
        </w:rPr>
        <w:t xml:space="preserve">: </w:t>
      </w:r>
      <w:r>
        <w:rPr>
          <w:rFonts w:eastAsia="MS Mincho"/>
          <w:b/>
          <w:u w:val="single"/>
          <w:lang w:eastAsia="ja-JP"/>
        </w:rPr>
        <w:t>Support directional LBT for FBE-based NR-U, which is beneficial in improving spatial reuse.</w:t>
      </w:r>
      <w:bookmarkStart w:id="3" w:name="_GoBack"/>
      <w:bookmarkEnd w:id="3"/>
    </w:p>
    <w:p w14:paraId="6E7E4676" w14:textId="77777777" w:rsidR="001F091D" w:rsidRPr="008B1C14" w:rsidRDefault="007253F7" w:rsidP="00595CF0">
      <w:pPr>
        <w:pStyle w:val="Heading1"/>
        <w:spacing w:after="60" w:line="288" w:lineRule="auto"/>
        <w:ind w:left="432" w:hanging="432"/>
        <w:rPr>
          <w:rFonts w:eastAsia="SimSun"/>
          <w:color w:val="000000"/>
          <w:sz w:val="32"/>
          <w:lang w:val="pt-BR" w:eastAsia="zh-CN"/>
        </w:rPr>
      </w:pPr>
      <w:r w:rsidRPr="008B1C14">
        <w:rPr>
          <w:sz w:val="32"/>
          <w:lang w:val="en-US" w:eastAsia="ko-KR"/>
        </w:rPr>
        <w:t>References</w:t>
      </w:r>
    </w:p>
    <w:p w14:paraId="7D6203BE" w14:textId="77777777" w:rsidR="004A132C" w:rsidRDefault="004A132C" w:rsidP="00F7460C">
      <w:pPr>
        <w:spacing w:after="0" w:line="360" w:lineRule="auto"/>
        <w:rPr>
          <w:rFonts w:eastAsia="MS Mincho"/>
          <w:lang w:eastAsia="ja-JP"/>
        </w:rPr>
      </w:pPr>
      <w:r w:rsidRPr="00EE006E">
        <w:rPr>
          <w:rFonts w:eastAsia="MS Mincho"/>
          <w:lang w:eastAsia="ja-JP"/>
        </w:rPr>
        <w:t xml:space="preserve">[1] </w:t>
      </w:r>
      <w:r>
        <w:rPr>
          <w:rFonts w:eastAsia="MS Mincho"/>
          <w:lang w:eastAsia="ja-JP"/>
        </w:rPr>
        <w:t>RAN1 Chairman’s Note, 3GPP TSG RAN WG1 Meeting #94, Gothenburg</w:t>
      </w:r>
      <w:r w:rsidRPr="00C31712">
        <w:rPr>
          <w:rFonts w:eastAsia="MS Mincho"/>
          <w:lang w:eastAsia="ja-JP"/>
        </w:rPr>
        <w:t xml:space="preserve">, </w:t>
      </w:r>
      <w:r>
        <w:rPr>
          <w:rFonts w:eastAsia="MS Mincho"/>
          <w:lang w:eastAsia="ja-JP"/>
        </w:rPr>
        <w:t>Sweden</w:t>
      </w:r>
      <w:r w:rsidRPr="00C31712">
        <w:rPr>
          <w:rFonts w:eastAsia="MS Mincho"/>
          <w:lang w:eastAsia="ja-JP"/>
        </w:rPr>
        <w:t xml:space="preserve">, </w:t>
      </w:r>
      <w:r>
        <w:rPr>
          <w:rFonts w:eastAsia="MS Mincho"/>
          <w:lang w:eastAsia="ja-JP"/>
        </w:rPr>
        <w:t>August 20th</w:t>
      </w:r>
      <w:r w:rsidRPr="00C31712">
        <w:rPr>
          <w:rFonts w:eastAsia="MS Mincho"/>
          <w:lang w:eastAsia="ja-JP"/>
        </w:rPr>
        <w:t xml:space="preserve"> </w:t>
      </w:r>
      <w:r>
        <w:rPr>
          <w:rFonts w:eastAsia="MS Mincho"/>
          <w:lang w:eastAsia="ja-JP"/>
        </w:rPr>
        <w:t>–24</w:t>
      </w:r>
      <w:r w:rsidRPr="00C31712">
        <w:rPr>
          <w:rFonts w:eastAsia="MS Mincho"/>
          <w:lang w:eastAsia="ja-JP"/>
        </w:rPr>
        <w:t>th, 2018</w:t>
      </w:r>
      <w:r>
        <w:rPr>
          <w:rFonts w:eastAsia="MS Mincho"/>
          <w:lang w:eastAsia="ja-JP"/>
        </w:rPr>
        <w:t>.</w:t>
      </w:r>
    </w:p>
    <w:p w14:paraId="34367900" w14:textId="5107334A" w:rsidR="002B6094" w:rsidRPr="002B6094" w:rsidRDefault="002B6094" w:rsidP="00F7460C">
      <w:pPr>
        <w:pStyle w:val="BodyText"/>
        <w:overflowPunct w:val="0"/>
        <w:spacing w:after="0" w:line="360" w:lineRule="auto"/>
        <w:textAlignment w:val="baseline"/>
        <w:rPr>
          <w:lang w:eastAsia="ko-KR"/>
        </w:rPr>
      </w:pPr>
      <w:r w:rsidRPr="008426E0">
        <w:rPr>
          <w:lang w:eastAsia="ko-KR"/>
        </w:rPr>
        <w:t>[2] R1-</w:t>
      </w:r>
      <w:r w:rsidR="00E071D6" w:rsidRPr="008F0328">
        <w:rPr>
          <w:lang w:eastAsia="ko-KR"/>
        </w:rPr>
        <w:t>1810857</w:t>
      </w:r>
      <w:r w:rsidRPr="008426E0">
        <w:rPr>
          <w:lang w:eastAsia="ko-KR"/>
        </w:rPr>
        <w:t>, “Frame structure for NR-U”, Samsung.</w:t>
      </w:r>
      <w:r>
        <w:rPr>
          <w:lang w:eastAsia="ko-KR"/>
        </w:rPr>
        <w:t xml:space="preserve"> </w:t>
      </w:r>
    </w:p>
    <w:p w14:paraId="28CCBAE9" w14:textId="77777777" w:rsidR="007A6C5E" w:rsidRDefault="00CD233B" w:rsidP="00F7460C">
      <w:pPr>
        <w:pStyle w:val="BodyText"/>
        <w:overflowPunct w:val="0"/>
        <w:spacing w:after="0" w:line="360" w:lineRule="auto"/>
        <w:textAlignment w:val="baseline"/>
      </w:pPr>
      <w:r>
        <w:rPr>
          <w:lang w:eastAsia="ko-KR"/>
        </w:rPr>
        <w:lastRenderedPageBreak/>
        <w:t>[</w:t>
      </w:r>
      <w:r w:rsidR="002B6094">
        <w:rPr>
          <w:lang w:eastAsia="ko-KR"/>
        </w:rPr>
        <w:t>3</w:t>
      </w:r>
      <w:r>
        <w:rPr>
          <w:lang w:eastAsia="ko-KR"/>
        </w:rPr>
        <w:t>] ETSI EN 301 893 V2.2.1, “5 GHz RLAN; Harmonised Standard covering the essential requirements of article 3.2 of Directive 2014/53/EU”, 2017.</w:t>
      </w:r>
      <w:r w:rsidR="007A6C5E" w:rsidRPr="007A6C5E">
        <w:t xml:space="preserve"> </w:t>
      </w:r>
    </w:p>
    <w:p w14:paraId="512B422D" w14:textId="77777777" w:rsidR="00CD233B" w:rsidRDefault="002B6094" w:rsidP="00F7460C">
      <w:pPr>
        <w:pStyle w:val="BodyText"/>
        <w:overflowPunct w:val="0"/>
        <w:spacing w:after="0" w:line="360" w:lineRule="auto"/>
        <w:textAlignment w:val="baseline"/>
        <w:rPr>
          <w:lang w:eastAsia="ko-KR"/>
        </w:rPr>
      </w:pPr>
      <w:r>
        <w:t>[4</w:t>
      </w:r>
      <w:r w:rsidR="007A6C5E">
        <w:t xml:space="preserve">] </w:t>
      </w:r>
      <w:r w:rsidR="007A6C5E" w:rsidRPr="007A6C5E">
        <w:rPr>
          <w:lang w:eastAsia="ko-KR"/>
        </w:rPr>
        <w:t>3GPP TS 36.213 V15.0.0</w:t>
      </w:r>
      <w:r w:rsidR="007A6C5E">
        <w:rPr>
          <w:lang w:eastAsia="ko-KR"/>
        </w:rPr>
        <w:t xml:space="preserve">, “Evolved Universal Terrestrial Radio Access (E-UTRA); Physical layer procedures </w:t>
      </w:r>
      <w:r w:rsidR="007A6C5E" w:rsidRPr="007A6C5E">
        <w:rPr>
          <w:lang w:eastAsia="ko-KR"/>
        </w:rPr>
        <w:t>(Release 15)</w:t>
      </w:r>
      <w:r w:rsidR="007A6C5E">
        <w:rPr>
          <w:lang w:eastAsia="ko-KR"/>
        </w:rPr>
        <w:t>”, 2017.</w:t>
      </w:r>
    </w:p>
    <w:p w14:paraId="0396A7C5" w14:textId="1C478357" w:rsidR="000836B7" w:rsidRPr="008426E0" w:rsidRDefault="000836B7" w:rsidP="0086766B">
      <w:pPr>
        <w:pStyle w:val="BodyText"/>
        <w:overflowPunct w:val="0"/>
        <w:spacing w:after="0" w:line="360" w:lineRule="auto"/>
        <w:textAlignment w:val="baseline"/>
        <w:rPr>
          <w:lang w:eastAsia="ko-KR"/>
        </w:rPr>
      </w:pPr>
      <w:r w:rsidRPr="008F0328">
        <w:rPr>
          <w:lang w:eastAsia="ko-KR"/>
        </w:rPr>
        <w:t>[</w:t>
      </w:r>
      <w:r w:rsidRPr="008426E0">
        <w:rPr>
          <w:lang w:eastAsia="ko-KR"/>
        </w:rPr>
        <w:t xml:space="preserve">5] </w:t>
      </w:r>
      <w:r w:rsidR="0086766B" w:rsidRPr="008426E0">
        <w:rPr>
          <w:lang w:eastAsia="ko-KR"/>
        </w:rPr>
        <w:t>R1-</w:t>
      </w:r>
      <w:r w:rsidR="00E071D6" w:rsidRPr="008F0328">
        <w:rPr>
          <w:lang w:eastAsia="ko-KR"/>
        </w:rPr>
        <w:t>1810858</w:t>
      </w:r>
      <w:r w:rsidR="0086766B" w:rsidRPr="008426E0">
        <w:rPr>
          <w:lang w:eastAsia="ko-KR"/>
        </w:rPr>
        <w:t>, “Downlink signal and channel design for NR-U”, Samsung</w:t>
      </w:r>
    </w:p>
    <w:p w14:paraId="45AEE7DD" w14:textId="7E8651D4" w:rsidR="0086766B" w:rsidRDefault="005038F5" w:rsidP="0086766B">
      <w:pPr>
        <w:pStyle w:val="BodyText"/>
        <w:overflowPunct w:val="0"/>
        <w:spacing w:after="0" w:line="360" w:lineRule="auto"/>
        <w:textAlignment w:val="baseline"/>
        <w:rPr>
          <w:lang w:eastAsia="ko-KR"/>
        </w:rPr>
      </w:pPr>
      <w:r w:rsidRPr="008426E0">
        <w:rPr>
          <w:lang w:eastAsia="ko-KR"/>
        </w:rPr>
        <w:t xml:space="preserve">[6] </w:t>
      </w:r>
      <w:r w:rsidR="0086766B" w:rsidRPr="008426E0">
        <w:rPr>
          <w:lang w:eastAsia="ko-KR"/>
        </w:rPr>
        <w:t>R1-</w:t>
      </w:r>
      <w:r w:rsidR="00E071D6" w:rsidRPr="008F0328">
        <w:rPr>
          <w:lang w:eastAsia="ko-KR"/>
        </w:rPr>
        <w:t>1810861</w:t>
      </w:r>
      <w:r w:rsidR="0086766B" w:rsidRPr="008426E0">
        <w:rPr>
          <w:lang w:eastAsia="ko-KR"/>
        </w:rPr>
        <w:t>, “Initial access and mobility procedure for NR-U”, Samsung</w:t>
      </w:r>
    </w:p>
    <w:p w14:paraId="6201E512" w14:textId="77777777" w:rsidR="005038F5" w:rsidRPr="0086766B" w:rsidRDefault="005038F5" w:rsidP="00F7460C">
      <w:pPr>
        <w:pStyle w:val="BodyText"/>
        <w:overflowPunct w:val="0"/>
        <w:spacing w:after="0" w:line="360" w:lineRule="auto"/>
        <w:textAlignment w:val="baseline"/>
        <w:rPr>
          <w:lang w:eastAsia="ko-KR"/>
        </w:rPr>
      </w:pPr>
    </w:p>
    <w:p w14:paraId="7DBDD0EE" w14:textId="77777777" w:rsidR="002B2C55" w:rsidRPr="002B2C55" w:rsidRDefault="002B2C55" w:rsidP="008E75D7">
      <w:pPr>
        <w:spacing w:after="120"/>
      </w:pPr>
    </w:p>
    <w:sectPr w:rsidR="002B2C55" w:rsidRPr="002B2C55" w:rsidSect="00C3193E">
      <w:footerReference w:type="even" r:id="rId22"/>
      <w:footerReference w:type="default" r:id="rId2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0CE8D5" w14:textId="77777777" w:rsidR="00EB31B1" w:rsidRPr="00C47AD2" w:rsidRDefault="00EB31B1" w:rsidP="00736F7B">
      <w:pPr>
        <w:rPr>
          <w:rFonts w:ascii="Arial" w:hAnsi="Arial"/>
          <w:sz w:val="12"/>
        </w:rPr>
      </w:pPr>
      <w:r>
        <w:separator/>
      </w:r>
    </w:p>
  </w:endnote>
  <w:endnote w:type="continuationSeparator" w:id="0">
    <w:p w14:paraId="73B09E25" w14:textId="77777777" w:rsidR="00EB31B1" w:rsidRPr="00C47AD2" w:rsidRDefault="00EB31B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F1BAA" w14:textId="77777777" w:rsidR="00CA21F5" w:rsidRDefault="00CA21F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D50F0B" w14:textId="77777777" w:rsidR="00CA21F5" w:rsidRDefault="00CA21F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B68B" w14:textId="65E7F1FA" w:rsidR="00CA21F5" w:rsidRDefault="00CA21F5">
    <w:pPr>
      <w:pStyle w:val="Footer"/>
    </w:pPr>
    <w:r>
      <w:fldChar w:fldCharType="begin"/>
    </w:r>
    <w:r>
      <w:instrText xml:space="preserve"> PAGE   \* MERGEFORMAT </w:instrText>
    </w:r>
    <w:r>
      <w:fldChar w:fldCharType="separate"/>
    </w:r>
    <w:r w:rsidR="00D245AB">
      <w:t>9</w:t>
    </w:r>
    <w:r>
      <w:fldChar w:fldCharType="end"/>
    </w:r>
  </w:p>
  <w:p w14:paraId="6CABABAA" w14:textId="77777777" w:rsidR="00CA21F5" w:rsidRDefault="00CA21F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143CA" w14:textId="77777777" w:rsidR="00EB31B1" w:rsidRPr="00C47AD2" w:rsidRDefault="00EB31B1" w:rsidP="00736F7B">
      <w:pPr>
        <w:rPr>
          <w:rFonts w:ascii="Arial" w:hAnsi="Arial"/>
          <w:sz w:val="12"/>
        </w:rPr>
      </w:pPr>
      <w:r>
        <w:separator/>
      </w:r>
    </w:p>
  </w:footnote>
  <w:footnote w:type="continuationSeparator" w:id="0">
    <w:p w14:paraId="12C663C4" w14:textId="77777777" w:rsidR="00EB31B1" w:rsidRPr="00C47AD2" w:rsidRDefault="00EB31B1"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5" type="#_x0000_t75" style="width:11.2pt;height:11.2pt" o:bullet="t">
        <v:imagedata r:id="rId1" o:title="artE1F5"/>
      </v:shape>
    </w:pict>
  </w:numPicBullet>
  <w:numPicBullet w:numPicBulletId="1">
    <w:pict>
      <v:shape id="_x0000_i2106" type="#_x0000_t75" style="width:11.2pt;height:11.2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1"/>
  </w:num>
  <w:num w:numId="6">
    <w:abstractNumId w:val="20"/>
  </w:num>
  <w:num w:numId="7">
    <w:abstractNumId w:val="12"/>
  </w:num>
  <w:num w:numId="8">
    <w:abstractNumId w:val="10"/>
  </w:num>
  <w:num w:numId="9">
    <w:abstractNumId w:val="18"/>
  </w:num>
  <w:num w:numId="10">
    <w:abstractNumId w:val="1"/>
  </w:num>
  <w:num w:numId="11">
    <w:abstractNumId w:val="6"/>
  </w:num>
  <w:num w:numId="12">
    <w:abstractNumId w:val="19"/>
  </w:num>
  <w:num w:numId="13">
    <w:abstractNumId w:val="14"/>
  </w:num>
  <w:num w:numId="14">
    <w:abstractNumId w:val="4"/>
  </w:num>
  <w:num w:numId="15">
    <w:abstractNumId w:val="5"/>
  </w:num>
  <w:num w:numId="16">
    <w:abstractNumId w:val="16"/>
  </w:num>
  <w:num w:numId="17">
    <w:abstractNumId w:val="3"/>
  </w:num>
  <w:num w:numId="18">
    <w:abstractNumId w:val="15"/>
  </w:num>
  <w:num w:numId="19">
    <w:abstractNumId w:val="2"/>
  </w:num>
  <w:num w:numId="20">
    <w:abstractNumId w:val="13"/>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73A"/>
    <w:rsid w:val="00016749"/>
    <w:rsid w:val="00016AC0"/>
    <w:rsid w:val="00016E99"/>
    <w:rsid w:val="00017037"/>
    <w:rsid w:val="00017159"/>
    <w:rsid w:val="0001721B"/>
    <w:rsid w:val="000177E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DB0"/>
    <w:rsid w:val="00040E27"/>
    <w:rsid w:val="00040E32"/>
    <w:rsid w:val="000413DC"/>
    <w:rsid w:val="00041467"/>
    <w:rsid w:val="00041516"/>
    <w:rsid w:val="00041544"/>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CB6"/>
    <w:rsid w:val="00051E53"/>
    <w:rsid w:val="0005233A"/>
    <w:rsid w:val="0005237F"/>
    <w:rsid w:val="0005357B"/>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AB1"/>
    <w:rsid w:val="000D6DE0"/>
    <w:rsid w:val="000D7178"/>
    <w:rsid w:val="000D75B2"/>
    <w:rsid w:val="000D783F"/>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A61"/>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C92"/>
    <w:rsid w:val="00125227"/>
    <w:rsid w:val="001254E2"/>
    <w:rsid w:val="0012550B"/>
    <w:rsid w:val="001256CC"/>
    <w:rsid w:val="00125711"/>
    <w:rsid w:val="00125836"/>
    <w:rsid w:val="00125B0B"/>
    <w:rsid w:val="00125EA5"/>
    <w:rsid w:val="00126032"/>
    <w:rsid w:val="0012627E"/>
    <w:rsid w:val="0012629F"/>
    <w:rsid w:val="0012642F"/>
    <w:rsid w:val="00126AC0"/>
    <w:rsid w:val="00126E51"/>
    <w:rsid w:val="001276C3"/>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DB2"/>
    <w:rsid w:val="0014634C"/>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D56"/>
    <w:rsid w:val="00153D8F"/>
    <w:rsid w:val="00153FD6"/>
    <w:rsid w:val="00154060"/>
    <w:rsid w:val="001543BF"/>
    <w:rsid w:val="00154B03"/>
    <w:rsid w:val="00154BCC"/>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B0B"/>
    <w:rsid w:val="00190ECA"/>
    <w:rsid w:val="00190FA6"/>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E2F"/>
    <w:rsid w:val="001A1F6F"/>
    <w:rsid w:val="001A225B"/>
    <w:rsid w:val="001A2AAF"/>
    <w:rsid w:val="001A2B97"/>
    <w:rsid w:val="001A318D"/>
    <w:rsid w:val="001A3192"/>
    <w:rsid w:val="001A31E0"/>
    <w:rsid w:val="001A31E7"/>
    <w:rsid w:val="001A33CF"/>
    <w:rsid w:val="001A35D2"/>
    <w:rsid w:val="001A3C3A"/>
    <w:rsid w:val="001A3E49"/>
    <w:rsid w:val="001A417A"/>
    <w:rsid w:val="001A484C"/>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A5"/>
    <w:rsid w:val="001E1B76"/>
    <w:rsid w:val="001E21C9"/>
    <w:rsid w:val="001E27F1"/>
    <w:rsid w:val="001E283A"/>
    <w:rsid w:val="001E28EA"/>
    <w:rsid w:val="001E2F2D"/>
    <w:rsid w:val="001E31B2"/>
    <w:rsid w:val="001E428C"/>
    <w:rsid w:val="001E439C"/>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6E1"/>
    <w:rsid w:val="00223E61"/>
    <w:rsid w:val="00223EFE"/>
    <w:rsid w:val="00224043"/>
    <w:rsid w:val="002243D8"/>
    <w:rsid w:val="00224477"/>
    <w:rsid w:val="00224C89"/>
    <w:rsid w:val="00224FB8"/>
    <w:rsid w:val="002253EF"/>
    <w:rsid w:val="0022551C"/>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03"/>
    <w:rsid w:val="00246359"/>
    <w:rsid w:val="002463F4"/>
    <w:rsid w:val="00246538"/>
    <w:rsid w:val="0024765C"/>
    <w:rsid w:val="00247BDC"/>
    <w:rsid w:val="00247BF9"/>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E50"/>
    <w:rsid w:val="0028784E"/>
    <w:rsid w:val="002878DC"/>
    <w:rsid w:val="00287A9C"/>
    <w:rsid w:val="00287C73"/>
    <w:rsid w:val="0029019B"/>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E78"/>
    <w:rsid w:val="002B6094"/>
    <w:rsid w:val="002B61FE"/>
    <w:rsid w:val="002B6327"/>
    <w:rsid w:val="002B64CA"/>
    <w:rsid w:val="002B6779"/>
    <w:rsid w:val="002B6811"/>
    <w:rsid w:val="002B6BB3"/>
    <w:rsid w:val="002B6F28"/>
    <w:rsid w:val="002B7041"/>
    <w:rsid w:val="002B70E3"/>
    <w:rsid w:val="002B7121"/>
    <w:rsid w:val="002C0177"/>
    <w:rsid w:val="002C1006"/>
    <w:rsid w:val="002C11FD"/>
    <w:rsid w:val="002C1523"/>
    <w:rsid w:val="002C162E"/>
    <w:rsid w:val="002C16DC"/>
    <w:rsid w:val="002C1718"/>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138F"/>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CFC"/>
    <w:rsid w:val="0031150A"/>
    <w:rsid w:val="003115BF"/>
    <w:rsid w:val="0031168B"/>
    <w:rsid w:val="00311CD4"/>
    <w:rsid w:val="00311E84"/>
    <w:rsid w:val="00312323"/>
    <w:rsid w:val="003125E4"/>
    <w:rsid w:val="0031297D"/>
    <w:rsid w:val="00312E56"/>
    <w:rsid w:val="00312F4B"/>
    <w:rsid w:val="0031352B"/>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AA7"/>
    <w:rsid w:val="00363B67"/>
    <w:rsid w:val="00363B85"/>
    <w:rsid w:val="003644E1"/>
    <w:rsid w:val="00364741"/>
    <w:rsid w:val="003649B6"/>
    <w:rsid w:val="00364BA6"/>
    <w:rsid w:val="00364D47"/>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77"/>
    <w:rsid w:val="003675D0"/>
    <w:rsid w:val="003675F0"/>
    <w:rsid w:val="00367863"/>
    <w:rsid w:val="003678B3"/>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86B"/>
    <w:rsid w:val="00391BFB"/>
    <w:rsid w:val="00391DB5"/>
    <w:rsid w:val="00391DD5"/>
    <w:rsid w:val="00391E2E"/>
    <w:rsid w:val="00392559"/>
    <w:rsid w:val="00392AB4"/>
    <w:rsid w:val="00392C78"/>
    <w:rsid w:val="00392D14"/>
    <w:rsid w:val="00392E30"/>
    <w:rsid w:val="00392F7F"/>
    <w:rsid w:val="003931FD"/>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329A"/>
    <w:rsid w:val="00403840"/>
    <w:rsid w:val="004038DE"/>
    <w:rsid w:val="00403B1F"/>
    <w:rsid w:val="00403BA5"/>
    <w:rsid w:val="0040412B"/>
    <w:rsid w:val="004041EA"/>
    <w:rsid w:val="00404250"/>
    <w:rsid w:val="00404A11"/>
    <w:rsid w:val="00404A36"/>
    <w:rsid w:val="00405166"/>
    <w:rsid w:val="00405190"/>
    <w:rsid w:val="00405932"/>
    <w:rsid w:val="00405D28"/>
    <w:rsid w:val="00405D93"/>
    <w:rsid w:val="004062E9"/>
    <w:rsid w:val="00406470"/>
    <w:rsid w:val="004068BA"/>
    <w:rsid w:val="00406CC3"/>
    <w:rsid w:val="00406D08"/>
    <w:rsid w:val="00406F7F"/>
    <w:rsid w:val="00407FF4"/>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CA1"/>
    <w:rsid w:val="00424F33"/>
    <w:rsid w:val="004251B0"/>
    <w:rsid w:val="004253E3"/>
    <w:rsid w:val="004253F6"/>
    <w:rsid w:val="00425527"/>
    <w:rsid w:val="00425695"/>
    <w:rsid w:val="0042574E"/>
    <w:rsid w:val="00425773"/>
    <w:rsid w:val="00425826"/>
    <w:rsid w:val="00425B3F"/>
    <w:rsid w:val="00425BA4"/>
    <w:rsid w:val="00426206"/>
    <w:rsid w:val="004263FD"/>
    <w:rsid w:val="00426631"/>
    <w:rsid w:val="00426A18"/>
    <w:rsid w:val="00426AB2"/>
    <w:rsid w:val="00426E11"/>
    <w:rsid w:val="004278D5"/>
    <w:rsid w:val="00427C86"/>
    <w:rsid w:val="00430496"/>
    <w:rsid w:val="00430547"/>
    <w:rsid w:val="00430671"/>
    <w:rsid w:val="00430CEC"/>
    <w:rsid w:val="00430FF3"/>
    <w:rsid w:val="004315B3"/>
    <w:rsid w:val="0043230C"/>
    <w:rsid w:val="0043258A"/>
    <w:rsid w:val="004328CF"/>
    <w:rsid w:val="004329F0"/>
    <w:rsid w:val="004336CA"/>
    <w:rsid w:val="004338B2"/>
    <w:rsid w:val="00433AB6"/>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BCB"/>
    <w:rsid w:val="00444D28"/>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14A0"/>
    <w:rsid w:val="004514C9"/>
    <w:rsid w:val="004516B5"/>
    <w:rsid w:val="00451C19"/>
    <w:rsid w:val="00452512"/>
    <w:rsid w:val="00452882"/>
    <w:rsid w:val="004531E4"/>
    <w:rsid w:val="00453475"/>
    <w:rsid w:val="00453709"/>
    <w:rsid w:val="0045381A"/>
    <w:rsid w:val="00453A29"/>
    <w:rsid w:val="004540A2"/>
    <w:rsid w:val="0045478A"/>
    <w:rsid w:val="00454AF2"/>
    <w:rsid w:val="00454DFB"/>
    <w:rsid w:val="00454E50"/>
    <w:rsid w:val="00454EC3"/>
    <w:rsid w:val="0045518D"/>
    <w:rsid w:val="0045546B"/>
    <w:rsid w:val="00455812"/>
    <w:rsid w:val="00455DE7"/>
    <w:rsid w:val="00456663"/>
    <w:rsid w:val="00456AC9"/>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768"/>
    <w:rsid w:val="00464A5E"/>
    <w:rsid w:val="00464AF8"/>
    <w:rsid w:val="00464E06"/>
    <w:rsid w:val="00464E8E"/>
    <w:rsid w:val="0046524A"/>
    <w:rsid w:val="004656A8"/>
    <w:rsid w:val="004657A3"/>
    <w:rsid w:val="00465CE9"/>
    <w:rsid w:val="004664E4"/>
    <w:rsid w:val="0046692F"/>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B68"/>
    <w:rsid w:val="00480BAF"/>
    <w:rsid w:val="00480BCA"/>
    <w:rsid w:val="00480E34"/>
    <w:rsid w:val="00481114"/>
    <w:rsid w:val="004813F2"/>
    <w:rsid w:val="0048162F"/>
    <w:rsid w:val="00481C5C"/>
    <w:rsid w:val="00481D5E"/>
    <w:rsid w:val="00481E26"/>
    <w:rsid w:val="00481E82"/>
    <w:rsid w:val="0048258D"/>
    <w:rsid w:val="004829E0"/>
    <w:rsid w:val="00482C78"/>
    <w:rsid w:val="0048361C"/>
    <w:rsid w:val="0048378A"/>
    <w:rsid w:val="00483D76"/>
    <w:rsid w:val="00483F7B"/>
    <w:rsid w:val="004843C0"/>
    <w:rsid w:val="00484466"/>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343"/>
    <w:rsid w:val="004A276B"/>
    <w:rsid w:val="004A2D54"/>
    <w:rsid w:val="004A2E3F"/>
    <w:rsid w:val="004A3084"/>
    <w:rsid w:val="004A39CD"/>
    <w:rsid w:val="004A3B14"/>
    <w:rsid w:val="004A4987"/>
    <w:rsid w:val="004A4ACE"/>
    <w:rsid w:val="004A4E4A"/>
    <w:rsid w:val="004A4EA1"/>
    <w:rsid w:val="004A5631"/>
    <w:rsid w:val="004A5E69"/>
    <w:rsid w:val="004A5E91"/>
    <w:rsid w:val="004A5F99"/>
    <w:rsid w:val="004A5FAF"/>
    <w:rsid w:val="004A5FE0"/>
    <w:rsid w:val="004A60F0"/>
    <w:rsid w:val="004A6239"/>
    <w:rsid w:val="004A6A8B"/>
    <w:rsid w:val="004A6C0F"/>
    <w:rsid w:val="004A6C2E"/>
    <w:rsid w:val="004A7384"/>
    <w:rsid w:val="004A77A8"/>
    <w:rsid w:val="004A7A1E"/>
    <w:rsid w:val="004B04A6"/>
    <w:rsid w:val="004B0950"/>
    <w:rsid w:val="004B109C"/>
    <w:rsid w:val="004B10D8"/>
    <w:rsid w:val="004B128B"/>
    <w:rsid w:val="004B1CB8"/>
    <w:rsid w:val="004B1D03"/>
    <w:rsid w:val="004B26A3"/>
    <w:rsid w:val="004B288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7E6"/>
    <w:rsid w:val="004C4AFF"/>
    <w:rsid w:val="004C5094"/>
    <w:rsid w:val="004C5447"/>
    <w:rsid w:val="004C54AB"/>
    <w:rsid w:val="004C554B"/>
    <w:rsid w:val="004C5563"/>
    <w:rsid w:val="004C5797"/>
    <w:rsid w:val="004C5925"/>
    <w:rsid w:val="004C5C18"/>
    <w:rsid w:val="004C6826"/>
    <w:rsid w:val="004C6AFD"/>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2006"/>
    <w:rsid w:val="004D22E8"/>
    <w:rsid w:val="004D2638"/>
    <w:rsid w:val="004D2920"/>
    <w:rsid w:val="004D2A29"/>
    <w:rsid w:val="004D2ED9"/>
    <w:rsid w:val="004D367F"/>
    <w:rsid w:val="004D37F9"/>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E"/>
    <w:rsid w:val="004E7692"/>
    <w:rsid w:val="004E7EE2"/>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97"/>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FEB"/>
    <w:rsid w:val="0052008F"/>
    <w:rsid w:val="00520132"/>
    <w:rsid w:val="00520200"/>
    <w:rsid w:val="005203F8"/>
    <w:rsid w:val="0052092A"/>
    <w:rsid w:val="00520C25"/>
    <w:rsid w:val="00521158"/>
    <w:rsid w:val="0052218B"/>
    <w:rsid w:val="005224AF"/>
    <w:rsid w:val="005225A5"/>
    <w:rsid w:val="00522765"/>
    <w:rsid w:val="00522A1B"/>
    <w:rsid w:val="00522E32"/>
    <w:rsid w:val="00523064"/>
    <w:rsid w:val="00523386"/>
    <w:rsid w:val="00523487"/>
    <w:rsid w:val="005234A1"/>
    <w:rsid w:val="005235F5"/>
    <w:rsid w:val="00523839"/>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2F82"/>
    <w:rsid w:val="00553500"/>
    <w:rsid w:val="00553595"/>
    <w:rsid w:val="00553BA1"/>
    <w:rsid w:val="00553E72"/>
    <w:rsid w:val="00554276"/>
    <w:rsid w:val="005543C9"/>
    <w:rsid w:val="00554B0B"/>
    <w:rsid w:val="00554EFD"/>
    <w:rsid w:val="00554F0F"/>
    <w:rsid w:val="005553C9"/>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B65"/>
    <w:rsid w:val="00562BD5"/>
    <w:rsid w:val="00562D3C"/>
    <w:rsid w:val="00562EAA"/>
    <w:rsid w:val="005635EF"/>
    <w:rsid w:val="00563649"/>
    <w:rsid w:val="0056378B"/>
    <w:rsid w:val="005638FB"/>
    <w:rsid w:val="00563C41"/>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DA"/>
    <w:rsid w:val="00605220"/>
    <w:rsid w:val="0060524F"/>
    <w:rsid w:val="00605A3C"/>
    <w:rsid w:val="00605E77"/>
    <w:rsid w:val="006061E0"/>
    <w:rsid w:val="00606451"/>
    <w:rsid w:val="00606494"/>
    <w:rsid w:val="0060787E"/>
    <w:rsid w:val="00607B88"/>
    <w:rsid w:val="00607BF9"/>
    <w:rsid w:val="00607D18"/>
    <w:rsid w:val="00607EB5"/>
    <w:rsid w:val="00610AE8"/>
    <w:rsid w:val="0061167F"/>
    <w:rsid w:val="00611C07"/>
    <w:rsid w:val="00611DE3"/>
    <w:rsid w:val="00611F95"/>
    <w:rsid w:val="00612BA4"/>
    <w:rsid w:val="00612C39"/>
    <w:rsid w:val="00612C3C"/>
    <w:rsid w:val="00612C5D"/>
    <w:rsid w:val="00612FDD"/>
    <w:rsid w:val="0061305C"/>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E2"/>
    <w:rsid w:val="00617F52"/>
    <w:rsid w:val="00620121"/>
    <w:rsid w:val="0062028A"/>
    <w:rsid w:val="0062029B"/>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5456"/>
    <w:rsid w:val="006365C9"/>
    <w:rsid w:val="00636A0A"/>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3FFD"/>
    <w:rsid w:val="00644237"/>
    <w:rsid w:val="006444B7"/>
    <w:rsid w:val="00644787"/>
    <w:rsid w:val="00644CEA"/>
    <w:rsid w:val="00644F69"/>
    <w:rsid w:val="0064503D"/>
    <w:rsid w:val="00645838"/>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CB7"/>
    <w:rsid w:val="00672330"/>
    <w:rsid w:val="006727EC"/>
    <w:rsid w:val="00672B34"/>
    <w:rsid w:val="00672F43"/>
    <w:rsid w:val="006730B0"/>
    <w:rsid w:val="006730C5"/>
    <w:rsid w:val="006736C3"/>
    <w:rsid w:val="00673738"/>
    <w:rsid w:val="006739FC"/>
    <w:rsid w:val="006740BE"/>
    <w:rsid w:val="00674367"/>
    <w:rsid w:val="00674569"/>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F88"/>
    <w:rsid w:val="006A02A8"/>
    <w:rsid w:val="006A02D5"/>
    <w:rsid w:val="006A0674"/>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E03"/>
    <w:rsid w:val="006A3F16"/>
    <w:rsid w:val="006A49AA"/>
    <w:rsid w:val="006A5002"/>
    <w:rsid w:val="006A511F"/>
    <w:rsid w:val="006A525F"/>
    <w:rsid w:val="006A53FE"/>
    <w:rsid w:val="006A5542"/>
    <w:rsid w:val="006A5952"/>
    <w:rsid w:val="006A618B"/>
    <w:rsid w:val="006A6496"/>
    <w:rsid w:val="006A654F"/>
    <w:rsid w:val="006A65C7"/>
    <w:rsid w:val="006A66D0"/>
    <w:rsid w:val="006A719A"/>
    <w:rsid w:val="006A7405"/>
    <w:rsid w:val="006A7AC3"/>
    <w:rsid w:val="006A7FE9"/>
    <w:rsid w:val="006B00CC"/>
    <w:rsid w:val="006B0800"/>
    <w:rsid w:val="006B0B1F"/>
    <w:rsid w:val="006B0BF4"/>
    <w:rsid w:val="006B1012"/>
    <w:rsid w:val="006B101C"/>
    <w:rsid w:val="006B115F"/>
    <w:rsid w:val="006B1329"/>
    <w:rsid w:val="006B14EA"/>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48F"/>
    <w:rsid w:val="006E052E"/>
    <w:rsid w:val="006E05CF"/>
    <w:rsid w:val="006E0789"/>
    <w:rsid w:val="006E0C35"/>
    <w:rsid w:val="006E0C7E"/>
    <w:rsid w:val="006E1EE0"/>
    <w:rsid w:val="006E1F76"/>
    <w:rsid w:val="006E1FD4"/>
    <w:rsid w:val="006E2351"/>
    <w:rsid w:val="006E2899"/>
    <w:rsid w:val="006E29CB"/>
    <w:rsid w:val="006E2D4F"/>
    <w:rsid w:val="006E2F08"/>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57"/>
    <w:rsid w:val="007037E0"/>
    <w:rsid w:val="00703C78"/>
    <w:rsid w:val="00703E0E"/>
    <w:rsid w:val="00703F56"/>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C19"/>
    <w:rsid w:val="00710D45"/>
    <w:rsid w:val="00711003"/>
    <w:rsid w:val="00711215"/>
    <w:rsid w:val="007117A2"/>
    <w:rsid w:val="007119DF"/>
    <w:rsid w:val="00711A04"/>
    <w:rsid w:val="00711A0B"/>
    <w:rsid w:val="00711E0D"/>
    <w:rsid w:val="00712073"/>
    <w:rsid w:val="00712D8B"/>
    <w:rsid w:val="00713312"/>
    <w:rsid w:val="0071372A"/>
    <w:rsid w:val="00713D21"/>
    <w:rsid w:val="00713FD0"/>
    <w:rsid w:val="0071413E"/>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20B88"/>
    <w:rsid w:val="00720C58"/>
    <w:rsid w:val="00720D81"/>
    <w:rsid w:val="00721026"/>
    <w:rsid w:val="0072145B"/>
    <w:rsid w:val="00721954"/>
    <w:rsid w:val="007220E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A36"/>
    <w:rsid w:val="00754C80"/>
    <w:rsid w:val="007551A2"/>
    <w:rsid w:val="00755443"/>
    <w:rsid w:val="0075548A"/>
    <w:rsid w:val="00755673"/>
    <w:rsid w:val="007559C7"/>
    <w:rsid w:val="00755E9D"/>
    <w:rsid w:val="0075677D"/>
    <w:rsid w:val="00756783"/>
    <w:rsid w:val="00756DC8"/>
    <w:rsid w:val="00756E41"/>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A55"/>
    <w:rsid w:val="00772C24"/>
    <w:rsid w:val="00772C64"/>
    <w:rsid w:val="00772C7D"/>
    <w:rsid w:val="00773064"/>
    <w:rsid w:val="00773D2A"/>
    <w:rsid w:val="00773E7A"/>
    <w:rsid w:val="007745D9"/>
    <w:rsid w:val="00775035"/>
    <w:rsid w:val="0077531A"/>
    <w:rsid w:val="00775855"/>
    <w:rsid w:val="007758D0"/>
    <w:rsid w:val="00775AA8"/>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475"/>
    <w:rsid w:val="00787A37"/>
    <w:rsid w:val="00787F5A"/>
    <w:rsid w:val="0079036B"/>
    <w:rsid w:val="00790536"/>
    <w:rsid w:val="007909C5"/>
    <w:rsid w:val="00791590"/>
    <w:rsid w:val="00791796"/>
    <w:rsid w:val="00791D16"/>
    <w:rsid w:val="00791D17"/>
    <w:rsid w:val="007920E8"/>
    <w:rsid w:val="007923FA"/>
    <w:rsid w:val="00792454"/>
    <w:rsid w:val="007929EC"/>
    <w:rsid w:val="00792A30"/>
    <w:rsid w:val="00792BCE"/>
    <w:rsid w:val="00792E8E"/>
    <w:rsid w:val="00792FD6"/>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BC6"/>
    <w:rsid w:val="007A7C1E"/>
    <w:rsid w:val="007A7D6E"/>
    <w:rsid w:val="007B01B8"/>
    <w:rsid w:val="007B0366"/>
    <w:rsid w:val="007B0CE8"/>
    <w:rsid w:val="007B0F5E"/>
    <w:rsid w:val="007B10EE"/>
    <w:rsid w:val="007B1454"/>
    <w:rsid w:val="007B1576"/>
    <w:rsid w:val="007B177C"/>
    <w:rsid w:val="007B1D9A"/>
    <w:rsid w:val="007B293B"/>
    <w:rsid w:val="007B2BA0"/>
    <w:rsid w:val="007B2D29"/>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69F"/>
    <w:rsid w:val="007C18D7"/>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EC"/>
    <w:rsid w:val="007D2B53"/>
    <w:rsid w:val="007D2D21"/>
    <w:rsid w:val="007D3168"/>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3FC4"/>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56"/>
    <w:rsid w:val="00817F24"/>
    <w:rsid w:val="00820DF5"/>
    <w:rsid w:val="00820E06"/>
    <w:rsid w:val="00820F70"/>
    <w:rsid w:val="00821026"/>
    <w:rsid w:val="008211BF"/>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588"/>
    <w:rsid w:val="0082774F"/>
    <w:rsid w:val="00827F38"/>
    <w:rsid w:val="00827F46"/>
    <w:rsid w:val="00830AE5"/>
    <w:rsid w:val="00830D4D"/>
    <w:rsid w:val="00830E35"/>
    <w:rsid w:val="00830F01"/>
    <w:rsid w:val="0083119A"/>
    <w:rsid w:val="00831848"/>
    <w:rsid w:val="00832D17"/>
    <w:rsid w:val="00832ED9"/>
    <w:rsid w:val="008332AA"/>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0"/>
    <w:rsid w:val="008426E8"/>
    <w:rsid w:val="00842701"/>
    <w:rsid w:val="0084280A"/>
    <w:rsid w:val="00842C9A"/>
    <w:rsid w:val="00842EDE"/>
    <w:rsid w:val="00842FA2"/>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3DF"/>
    <w:rsid w:val="008507B7"/>
    <w:rsid w:val="00851105"/>
    <w:rsid w:val="0085130B"/>
    <w:rsid w:val="00851390"/>
    <w:rsid w:val="008513D3"/>
    <w:rsid w:val="008514CE"/>
    <w:rsid w:val="008515D6"/>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7102"/>
    <w:rsid w:val="0087736E"/>
    <w:rsid w:val="008773DE"/>
    <w:rsid w:val="00877547"/>
    <w:rsid w:val="008777E6"/>
    <w:rsid w:val="00877B76"/>
    <w:rsid w:val="00880134"/>
    <w:rsid w:val="0088043D"/>
    <w:rsid w:val="00880744"/>
    <w:rsid w:val="0088093B"/>
    <w:rsid w:val="00880955"/>
    <w:rsid w:val="00880D1B"/>
    <w:rsid w:val="00880D2E"/>
    <w:rsid w:val="00880F96"/>
    <w:rsid w:val="00881079"/>
    <w:rsid w:val="00881881"/>
    <w:rsid w:val="00881AD6"/>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87FA4"/>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72D"/>
    <w:rsid w:val="009028D3"/>
    <w:rsid w:val="00902A5D"/>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203FC"/>
    <w:rsid w:val="00920527"/>
    <w:rsid w:val="009208CA"/>
    <w:rsid w:val="00920BDA"/>
    <w:rsid w:val="00920F7A"/>
    <w:rsid w:val="009211A0"/>
    <w:rsid w:val="009217AA"/>
    <w:rsid w:val="009217CB"/>
    <w:rsid w:val="0092184A"/>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DF1"/>
    <w:rsid w:val="00925624"/>
    <w:rsid w:val="00925976"/>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D76"/>
    <w:rsid w:val="00933096"/>
    <w:rsid w:val="009330DB"/>
    <w:rsid w:val="00933429"/>
    <w:rsid w:val="009339D9"/>
    <w:rsid w:val="00933CE5"/>
    <w:rsid w:val="00934420"/>
    <w:rsid w:val="0093459D"/>
    <w:rsid w:val="00935076"/>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F4"/>
    <w:rsid w:val="009978ED"/>
    <w:rsid w:val="009A04D5"/>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E99"/>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4B0"/>
    <w:rsid w:val="009E280A"/>
    <w:rsid w:val="009E28E7"/>
    <w:rsid w:val="009E2922"/>
    <w:rsid w:val="009E2AC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8D9"/>
    <w:rsid w:val="009F5AD6"/>
    <w:rsid w:val="009F5D4D"/>
    <w:rsid w:val="009F6591"/>
    <w:rsid w:val="009F6823"/>
    <w:rsid w:val="009F6902"/>
    <w:rsid w:val="009F6DD8"/>
    <w:rsid w:val="009F7427"/>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BA7"/>
    <w:rsid w:val="00A25225"/>
    <w:rsid w:val="00A25881"/>
    <w:rsid w:val="00A25A55"/>
    <w:rsid w:val="00A25B75"/>
    <w:rsid w:val="00A25CDF"/>
    <w:rsid w:val="00A260B5"/>
    <w:rsid w:val="00A261D0"/>
    <w:rsid w:val="00A26300"/>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D"/>
    <w:rsid w:val="00A4530D"/>
    <w:rsid w:val="00A45465"/>
    <w:rsid w:val="00A45A09"/>
    <w:rsid w:val="00A45A2B"/>
    <w:rsid w:val="00A45D4F"/>
    <w:rsid w:val="00A45EEE"/>
    <w:rsid w:val="00A46161"/>
    <w:rsid w:val="00A4658B"/>
    <w:rsid w:val="00A46989"/>
    <w:rsid w:val="00A46C56"/>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B5B"/>
    <w:rsid w:val="00A80C0A"/>
    <w:rsid w:val="00A80F1D"/>
    <w:rsid w:val="00A80FB8"/>
    <w:rsid w:val="00A812FF"/>
    <w:rsid w:val="00A8132A"/>
    <w:rsid w:val="00A81420"/>
    <w:rsid w:val="00A818AD"/>
    <w:rsid w:val="00A819D1"/>
    <w:rsid w:val="00A81AC1"/>
    <w:rsid w:val="00A81AD8"/>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550"/>
    <w:rsid w:val="00AB0639"/>
    <w:rsid w:val="00AB07BC"/>
    <w:rsid w:val="00AB0A50"/>
    <w:rsid w:val="00AB0E53"/>
    <w:rsid w:val="00AB1B90"/>
    <w:rsid w:val="00AB1C62"/>
    <w:rsid w:val="00AB1D0E"/>
    <w:rsid w:val="00AB1EA9"/>
    <w:rsid w:val="00AB21B6"/>
    <w:rsid w:val="00AB2A42"/>
    <w:rsid w:val="00AB2BBF"/>
    <w:rsid w:val="00AB2CEA"/>
    <w:rsid w:val="00AB2D75"/>
    <w:rsid w:val="00AB2F27"/>
    <w:rsid w:val="00AB32B7"/>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F87"/>
    <w:rsid w:val="00AC7424"/>
    <w:rsid w:val="00AC7684"/>
    <w:rsid w:val="00AC7923"/>
    <w:rsid w:val="00AC7B70"/>
    <w:rsid w:val="00AD01CE"/>
    <w:rsid w:val="00AD0430"/>
    <w:rsid w:val="00AD074A"/>
    <w:rsid w:val="00AD07D4"/>
    <w:rsid w:val="00AD0EB3"/>
    <w:rsid w:val="00AD130A"/>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6FFE"/>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2C5"/>
    <w:rsid w:val="00B25B57"/>
    <w:rsid w:val="00B25BA8"/>
    <w:rsid w:val="00B25DA0"/>
    <w:rsid w:val="00B25F1F"/>
    <w:rsid w:val="00B25FEF"/>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2B41"/>
    <w:rsid w:val="00B836E2"/>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07A5"/>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E0148"/>
    <w:rsid w:val="00BE09B8"/>
    <w:rsid w:val="00BE0E1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B1"/>
    <w:rsid w:val="00C17372"/>
    <w:rsid w:val="00C1739B"/>
    <w:rsid w:val="00C174E1"/>
    <w:rsid w:val="00C1775C"/>
    <w:rsid w:val="00C17989"/>
    <w:rsid w:val="00C2003F"/>
    <w:rsid w:val="00C20102"/>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4549"/>
    <w:rsid w:val="00C746DD"/>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716"/>
    <w:rsid w:val="00CA392B"/>
    <w:rsid w:val="00CA3B0C"/>
    <w:rsid w:val="00CA3CB9"/>
    <w:rsid w:val="00CA3E8C"/>
    <w:rsid w:val="00CA3EFE"/>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61BB"/>
    <w:rsid w:val="00CB62EC"/>
    <w:rsid w:val="00CB6479"/>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F09"/>
    <w:rsid w:val="00CE0081"/>
    <w:rsid w:val="00CE01E3"/>
    <w:rsid w:val="00CE01EF"/>
    <w:rsid w:val="00CE0564"/>
    <w:rsid w:val="00CE0607"/>
    <w:rsid w:val="00CE0856"/>
    <w:rsid w:val="00CE0BD7"/>
    <w:rsid w:val="00CE1630"/>
    <w:rsid w:val="00CE1D0F"/>
    <w:rsid w:val="00CE210E"/>
    <w:rsid w:val="00CE2332"/>
    <w:rsid w:val="00CE27F3"/>
    <w:rsid w:val="00CE2D9D"/>
    <w:rsid w:val="00CE3158"/>
    <w:rsid w:val="00CE35B2"/>
    <w:rsid w:val="00CE364B"/>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F1F"/>
    <w:rsid w:val="00D547F6"/>
    <w:rsid w:val="00D550FF"/>
    <w:rsid w:val="00D557AB"/>
    <w:rsid w:val="00D5599B"/>
    <w:rsid w:val="00D56220"/>
    <w:rsid w:val="00D5687A"/>
    <w:rsid w:val="00D56BBC"/>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69C"/>
    <w:rsid w:val="00D84873"/>
    <w:rsid w:val="00D84D2E"/>
    <w:rsid w:val="00D85A29"/>
    <w:rsid w:val="00D85C00"/>
    <w:rsid w:val="00D85D2F"/>
    <w:rsid w:val="00D85E0F"/>
    <w:rsid w:val="00D85F7F"/>
    <w:rsid w:val="00D860DC"/>
    <w:rsid w:val="00D862BF"/>
    <w:rsid w:val="00D86340"/>
    <w:rsid w:val="00D8652A"/>
    <w:rsid w:val="00D866B1"/>
    <w:rsid w:val="00D8683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962"/>
    <w:rsid w:val="00D91B4F"/>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57"/>
    <w:rsid w:val="00D9792C"/>
    <w:rsid w:val="00D97BAB"/>
    <w:rsid w:val="00D97DA3"/>
    <w:rsid w:val="00DA028B"/>
    <w:rsid w:val="00DA02A8"/>
    <w:rsid w:val="00DA07AF"/>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E7FC2"/>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C9F"/>
    <w:rsid w:val="00E06DAC"/>
    <w:rsid w:val="00E0707F"/>
    <w:rsid w:val="00E0714B"/>
    <w:rsid w:val="00E071D6"/>
    <w:rsid w:val="00E07368"/>
    <w:rsid w:val="00E0743F"/>
    <w:rsid w:val="00E07B9F"/>
    <w:rsid w:val="00E07C9E"/>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FFD"/>
    <w:rsid w:val="00E14384"/>
    <w:rsid w:val="00E14494"/>
    <w:rsid w:val="00E1454B"/>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17B21"/>
    <w:rsid w:val="00E20034"/>
    <w:rsid w:val="00E20398"/>
    <w:rsid w:val="00E206CE"/>
    <w:rsid w:val="00E20A73"/>
    <w:rsid w:val="00E20B2F"/>
    <w:rsid w:val="00E20E1B"/>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005"/>
    <w:rsid w:val="00E252CD"/>
    <w:rsid w:val="00E2540B"/>
    <w:rsid w:val="00E25B9F"/>
    <w:rsid w:val="00E25C7B"/>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6F8"/>
    <w:rsid w:val="00E41D00"/>
    <w:rsid w:val="00E41FBB"/>
    <w:rsid w:val="00E429A5"/>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F44"/>
    <w:rsid w:val="00E7026D"/>
    <w:rsid w:val="00E70340"/>
    <w:rsid w:val="00E71126"/>
    <w:rsid w:val="00E7127D"/>
    <w:rsid w:val="00E715E9"/>
    <w:rsid w:val="00E716CB"/>
    <w:rsid w:val="00E7181F"/>
    <w:rsid w:val="00E71832"/>
    <w:rsid w:val="00E71E07"/>
    <w:rsid w:val="00E720FD"/>
    <w:rsid w:val="00E7214F"/>
    <w:rsid w:val="00E72899"/>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FE5"/>
    <w:rsid w:val="00E80236"/>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50E"/>
    <w:rsid w:val="00E93704"/>
    <w:rsid w:val="00E93BA8"/>
    <w:rsid w:val="00E93BE9"/>
    <w:rsid w:val="00E93C63"/>
    <w:rsid w:val="00E93D3B"/>
    <w:rsid w:val="00E94D22"/>
    <w:rsid w:val="00E9503A"/>
    <w:rsid w:val="00E95242"/>
    <w:rsid w:val="00E95657"/>
    <w:rsid w:val="00E959A7"/>
    <w:rsid w:val="00E959BF"/>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AD2"/>
    <w:rsid w:val="00EC1B56"/>
    <w:rsid w:val="00EC1BA9"/>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786"/>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417E"/>
    <w:rsid w:val="00EE4307"/>
    <w:rsid w:val="00EE43FD"/>
    <w:rsid w:val="00EE4426"/>
    <w:rsid w:val="00EE4457"/>
    <w:rsid w:val="00EE4473"/>
    <w:rsid w:val="00EE44C8"/>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FAB"/>
    <w:rsid w:val="00EE751F"/>
    <w:rsid w:val="00EE7802"/>
    <w:rsid w:val="00EE7CCB"/>
    <w:rsid w:val="00EE7ECF"/>
    <w:rsid w:val="00EF03D7"/>
    <w:rsid w:val="00EF03EE"/>
    <w:rsid w:val="00EF05DF"/>
    <w:rsid w:val="00EF06CD"/>
    <w:rsid w:val="00EF0B03"/>
    <w:rsid w:val="00EF0EAC"/>
    <w:rsid w:val="00EF1587"/>
    <w:rsid w:val="00EF182A"/>
    <w:rsid w:val="00EF1D5C"/>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B0D"/>
    <w:rsid w:val="00F02CAE"/>
    <w:rsid w:val="00F02D76"/>
    <w:rsid w:val="00F02FF9"/>
    <w:rsid w:val="00F0308C"/>
    <w:rsid w:val="00F031A3"/>
    <w:rsid w:val="00F03268"/>
    <w:rsid w:val="00F03933"/>
    <w:rsid w:val="00F04246"/>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E2A"/>
    <w:rsid w:val="00F30E81"/>
    <w:rsid w:val="00F31664"/>
    <w:rsid w:val="00F31943"/>
    <w:rsid w:val="00F31A54"/>
    <w:rsid w:val="00F31C64"/>
    <w:rsid w:val="00F3250F"/>
    <w:rsid w:val="00F327F0"/>
    <w:rsid w:val="00F327F7"/>
    <w:rsid w:val="00F32AAB"/>
    <w:rsid w:val="00F32B5C"/>
    <w:rsid w:val="00F32E74"/>
    <w:rsid w:val="00F33745"/>
    <w:rsid w:val="00F33757"/>
    <w:rsid w:val="00F338DF"/>
    <w:rsid w:val="00F33BC7"/>
    <w:rsid w:val="00F33D63"/>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9D1"/>
    <w:rsid w:val="00F45B5C"/>
    <w:rsid w:val="00F45E53"/>
    <w:rsid w:val="00F45F6C"/>
    <w:rsid w:val="00F4655C"/>
    <w:rsid w:val="00F46809"/>
    <w:rsid w:val="00F46D5F"/>
    <w:rsid w:val="00F46DDD"/>
    <w:rsid w:val="00F4709B"/>
    <w:rsid w:val="00F4741D"/>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460"/>
    <w:rsid w:val="00F94836"/>
    <w:rsid w:val="00F94867"/>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E06"/>
    <w:rsid w:val="00FB1E88"/>
    <w:rsid w:val="00FB2415"/>
    <w:rsid w:val="00FB2D43"/>
    <w:rsid w:val="00FB37BD"/>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524"/>
    <w:rsid w:val="00FC4A7A"/>
    <w:rsid w:val="00FC4B51"/>
    <w:rsid w:val="00FC4C7C"/>
    <w:rsid w:val="00FC4C8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25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3FB0"/>
    <w:rsid w:val="00FF4C00"/>
    <w:rsid w:val="00FF4CFF"/>
    <w:rsid w:val="00FF4D5A"/>
    <w:rsid w:val="00FF4FA8"/>
    <w:rsid w:val="00FF5F99"/>
    <w:rsid w:val="00FF5FE1"/>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5AC43C"/>
  <w15:docId w15:val="{9BC4DBDB-803C-4E2F-B5F9-DFC03FF4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6DC98-2FA7-43CE-8C52-0AB8528E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9</Pages>
  <Words>3705</Words>
  <Characters>21124</Characters>
  <Application>Microsoft Office Word</Application>
  <DocSecurity>0</DocSecurity>
  <Lines>176</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#67</vt:lpstr>
    </vt:vector>
  </TitlesOfParts>
  <Company>Samsung Electronics</Company>
  <LinksUpToDate>false</LinksUpToDate>
  <CharactersWithSpaces>24780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Yingzhe Li</cp:lastModifiedBy>
  <cp:revision>11</cp:revision>
  <cp:lastPrinted>2010-04-04T09:18:00Z</cp:lastPrinted>
  <dcterms:created xsi:type="dcterms:W3CDTF">2018-09-28T18:17:00Z</dcterms:created>
  <dcterms:modified xsi:type="dcterms:W3CDTF">2018-09-28T19:35:00Z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C:\mySingle\TEMP\Draft R1-18XXXXX- Channel Access.docx</vt:lpwstr>
  </property>
</Properties>
</file>